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5594" w14:textId="77777777" w:rsidR="004D3EA3" w:rsidRDefault="004D3EA3">
      <w:pPr>
        <w:pStyle w:val="PargrafodaLista"/>
        <w:numPr>
          <w:ilvl w:val="0"/>
          <w:numId w:val="1"/>
        </w:numPr>
        <w:tabs>
          <w:tab w:val="left" w:pos="142"/>
          <w:tab w:val="left" w:pos="5375"/>
        </w:tabs>
        <w:spacing w:after="0" w:line="360" w:lineRule="auto"/>
        <w:ind w:left="709" w:hanging="709"/>
        <w:jc w:val="both"/>
        <w:rPr>
          <w:rFonts w:ascii="Arial" w:hAnsi="Arial" w:cs="Arial"/>
          <w:b/>
        </w:rPr>
      </w:pPr>
      <w:r>
        <w:rPr>
          <w:rFonts w:ascii="Arial" w:hAnsi="Arial" w:cs="Arial"/>
          <w:b/>
        </w:rPr>
        <w:t>OBJETIVO</w:t>
      </w:r>
      <w:r>
        <w:rPr>
          <w:rFonts w:ascii="Arial" w:hAnsi="Arial" w:cs="Arial"/>
          <w:b/>
        </w:rPr>
        <w:tab/>
      </w:r>
    </w:p>
    <w:p w14:paraId="5F46FA36" w14:textId="77777777" w:rsidR="004D3EA3" w:rsidRDefault="004D3EA3" w:rsidP="004D3EA3">
      <w:pPr>
        <w:pStyle w:val="Texto-MattosFilho"/>
        <w:tabs>
          <w:tab w:val="left" w:pos="142"/>
        </w:tabs>
        <w:spacing w:line="360" w:lineRule="auto"/>
        <w:rPr>
          <w:rFonts w:ascii="Arial" w:hAnsi="Arial" w:cs="Arial"/>
          <w:szCs w:val="22"/>
        </w:rPr>
      </w:pPr>
    </w:p>
    <w:p w14:paraId="40F9D5BD" w14:textId="5F39056A" w:rsidR="004D3EA3" w:rsidRDefault="004D3EA3">
      <w:pPr>
        <w:pStyle w:val="PargrafodaLista"/>
        <w:numPr>
          <w:ilvl w:val="1"/>
          <w:numId w:val="1"/>
        </w:numPr>
        <w:tabs>
          <w:tab w:val="left" w:pos="709"/>
        </w:tabs>
        <w:spacing w:after="0" w:line="360" w:lineRule="auto"/>
        <w:ind w:left="0" w:firstLine="0"/>
        <w:jc w:val="both"/>
        <w:rPr>
          <w:rFonts w:ascii="Arial" w:hAnsi="Arial" w:cs="Arial"/>
        </w:rPr>
      </w:pPr>
      <w:r>
        <w:rPr>
          <w:rFonts w:ascii="Arial" w:hAnsi="Arial" w:cs="Arial"/>
        </w:rPr>
        <w:t>A Política Antitruste da Necta Gás Natural S.A (“</w:t>
      </w:r>
      <w:r>
        <w:rPr>
          <w:rFonts w:ascii="Arial" w:hAnsi="Arial" w:cs="Arial"/>
          <w:u w:val="single"/>
        </w:rPr>
        <w:t>Necta</w:t>
      </w:r>
      <w:r>
        <w:rPr>
          <w:rFonts w:ascii="Arial" w:hAnsi="Arial" w:cs="Arial"/>
        </w:rPr>
        <w:t>”) visa estabelecer regras e diretrizes para cumprimento irrestrito da Lei nº 12.529, de 30 de novembro de 2011, que dispõe sobre a prevenção e repressão às infrações contra a ordem econômica e à livre concorrência (“</w:t>
      </w:r>
      <w:r>
        <w:rPr>
          <w:rFonts w:ascii="Arial" w:hAnsi="Arial" w:cs="Arial"/>
          <w:u w:val="single"/>
        </w:rPr>
        <w:t>Lei de Defesa da Concorrência</w:t>
      </w:r>
      <w:r>
        <w:rPr>
          <w:rFonts w:ascii="Arial" w:hAnsi="Arial" w:cs="Arial"/>
        </w:rPr>
        <w:t>” ou simplesmente “</w:t>
      </w:r>
      <w:r>
        <w:rPr>
          <w:rFonts w:ascii="Arial" w:hAnsi="Arial" w:cs="Arial"/>
          <w:u w:val="single"/>
        </w:rPr>
        <w:t>Lei Antitruste</w:t>
      </w:r>
      <w:r>
        <w:rPr>
          <w:rFonts w:ascii="Arial" w:hAnsi="Arial" w:cs="Arial"/>
        </w:rPr>
        <w:t>”) (“</w:t>
      </w:r>
      <w:r>
        <w:rPr>
          <w:rFonts w:ascii="Arial" w:hAnsi="Arial" w:cs="Arial"/>
          <w:u w:val="single"/>
        </w:rPr>
        <w:t>Política</w:t>
      </w:r>
      <w:r>
        <w:rPr>
          <w:rFonts w:ascii="Arial" w:hAnsi="Arial" w:cs="Arial"/>
        </w:rPr>
        <w:t>”), estabelecendo também diretrizes para cumprimento irrestrito da Lei nº 14.134/2021 (“</w:t>
      </w:r>
      <w:r>
        <w:rPr>
          <w:rFonts w:ascii="Arial" w:hAnsi="Arial" w:cs="Arial"/>
          <w:u w:val="single"/>
        </w:rPr>
        <w:t>Lei do Gás</w:t>
      </w:r>
      <w:r>
        <w:rPr>
          <w:rFonts w:ascii="Arial" w:hAnsi="Arial" w:cs="Arial"/>
        </w:rPr>
        <w:t>”) e Decreto nº 10.712/2021 (“</w:t>
      </w:r>
      <w:r>
        <w:rPr>
          <w:rFonts w:ascii="Arial" w:hAnsi="Arial" w:cs="Arial"/>
          <w:u w:val="single"/>
        </w:rPr>
        <w:t>Decreto do Gás</w:t>
      </w:r>
      <w:r>
        <w:rPr>
          <w:rFonts w:ascii="Arial" w:hAnsi="Arial" w:cs="Arial"/>
        </w:rPr>
        <w:t>”).</w:t>
      </w:r>
    </w:p>
    <w:p w14:paraId="4B89919F" w14:textId="77777777" w:rsidR="004D3EA3" w:rsidRDefault="004D3EA3" w:rsidP="004D3EA3">
      <w:pPr>
        <w:pStyle w:val="Texto-MattosFilho"/>
        <w:spacing w:line="360" w:lineRule="auto"/>
        <w:rPr>
          <w:rFonts w:ascii="Arial" w:hAnsi="Arial" w:cs="Arial"/>
          <w:szCs w:val="22"/>
        </w:rPr>
      </w:pPr>
    </w:p>
    <w:p w14:paraId="77A4520E" w14:textId="77777777" w:rsidR="004D3EA3" w:rsidRDefault="004D3EA3">
      <w:pPr>
        <w:pStyle w:val="PargrafodaLista"/>
        <w:numPr>
          <w:ilvl w:val="0"/>
          <w:numId w:val="1"/>
        </w:numPr>
        <w:tabs>
          <w:tab w:val="left" w:pos="709"/>
        </w:tabs>
        <w:spacing w:after="0" w:line="360" w:lineRule="auto"/>
        <w:ind w:left="0" w:firstLine="0"/>
        <w:jc w:val="both"/>
        <w:rPr>
          <w:rFonts w:ascii="Arial" w:hAnsi="Arial" w:cs="Arial"/>
          <w:b/>
        </w:rPr>
      </w:pPr>
      <w:r>
        <w:rPr>
          <w:rFonts w:ascii="Arial" w:hAnsi="Arial" w:cs="Arial"/>
          <w:b/>
        </w:rPr>
        <w:t>APLICAÇÃO E ABRANGÊNCIA</w:t>
      </w:r>
    </w:p>
    <w:p w14:paraId="75ECE65B" w14:textId="77777777" w:rsidR="004D3EA3" w:rsidRDefault="004D3EA3" w:rsidP="004D3EA3">
      <w:pPr>
        <w:pStyle w:val="PargrafodaLista"/>
        <w:tabs>
          <w:tab w:val="left" w:pos="142"/>
        </w:tabs>
        <w:spacing w:line="360" w:lineRule="auto"/>
        <w:ind w:left="0"/>
        <w:rPr>
          <w:rFonts w:ascii="Arial" w:hAnsi="Arial" w:cs="Arial"/>
          <w:b/>
        </w:rPr>
      </w:pPr>
    </w:p>
    <w:p w14:paraId="1C4E3A41" w14:textId="51BCEBEC" w:rsidR="004D3EA3" w:rsidRDefault="004D3EA3">
      <w:pPr>
        <w:pStyle w:val="PargrafodaLista"/>
        <w:numPr>
          <w:ilvl w:val="1"/>
          <w:numId w:val="1"/>
        </w:numPr>
        <w:tabs>
          <w:tab w:val="left" w:pos="709"/>
        </w:tabs>
        <w:spacing w:after="0" w:line="360" w:lineRule="auto"/>
        <w:ind w:left="0" w:firstLine="0"/>
        <w:jc w:val="both"/>
        <w:rPr>
          <w:rFonts w:ascii="Arial" w:hAnsi="Arial" w:cs="Arial"/>
        </w:rPr>
      </w:pPr>
      <w:r>
        <w:rPr>
          <w:rFonts w:ascii="Arial" w:hAnsi="Arial" w:cs="Arial"/>
        </w:rPr>
        <w:t>A presente Política aplica-se a todos os Colaboradores da Necta, bem como a Terceiros.</w:t>
      </w:r>
    </w:p>
    <w:p w14:paraId="001D9992" w14:textId="77777777" w:rsidR="004D3EA3" w:rsidRDefault="004D3EA3" w:rsidP="004D3EA3">
      <w:pPr>
        <w:pStyle w:val="Texto-MattosFilho"/>
        <w:spacing w:line="360" w:lineRule="auto"/>
        <w:rPr>
          <w:rFonts w:ascii="Arial" w:hAnsi="Arial" w:cs="Arial"/>
          <w:szCs w:val="22"/>
        </w:rPr>
      </w:pPr>
    </w:p>
    <w:p w14:paraId="0A99343C" w14:textId="77777777" w:rsidR="004D3EA3" w:rsidRDefault="004D3EA3">
      <w:pPr>
        <w:pStyle w:val="Default"/>
        <w:numPr>
          <w:ilvl w:val="0"/>
          <w:numId w:val="1"/>
        </w:numPr>
        <w:spacing w:line="360" w:lineRule="auto"/>
        <w:ind w:hanging="720"/>
        <w:jc w:val="both"/>
        <w:rPr>
          <w:b/>
          <w:color w:val="auto"/>
          <w:sz w:val="22"/>
          <w:szCs w:val="22"/>
        </w:rPr>
      </w:pPr>
      <w:r>
        <w:rPr>
          <w:b/>
          <w:color w:val="auto"/>
          <w:sz w:val="22"/>
          <w:szCs w:val="22"/>
        </w:rPr>
        <w:t>DEFINIÇÕES</w:t>
      </w:r>
    </w:p>
    <w:p w14:paraId="32758C22" w14:textId="77777777" w:rsidR="004D3EA3" w:rsidRDefault="004D3EA3" w:rsidP="004D3EA3">
      <w:pPr>
        <w:pStyle w:val="Default"/>
        <w:spacing w:line="360" w:lineRule="auto"/>
        <w:jc w:val="both"/>
        <w:rPr>
          <w:bCs/>
          <w:color w:val="auto"/>
          <w:sz w:val="22"/>
          <w:szCs w:val="22"/>
        </w:rPr>
      </w:pPr>
    </w:p>
    <w:p w14:paraId="628DCE41" w14:textId="77777777" w:rsidR="004D3EA3" w:rsidRDefault="004D3EA3">
      <w:pPr>
        <w:pStyle w:val="Default"/>
        <w:numPr>
          <w:ilvl w:val="0"/>
          <w:numId w:val="2"/>
        </w:numPr>
        <w:spacing w:line="360" w:lineRule="auto"/>
        <w:ind w:left="567" w:hanging="567"/>
        <w:jc w:val="both"/>
        <w:rPr>
          <w:color w:val="000000" w:themeColor="text1"/>
          <w:sz w:val="22"/>
          <w:szCs w:val="22"/>
          <w:shd w:val="clear" w:color="auto" w:fill="FFFFFF"/>
        </w:rPr>
      </w:pPr>
      <w:r>
        <w:rPr>
          <w:b/>
          <w:bCs/>
          <w:color w:val="000000" w:themeColor="text1"/>
          <w:sz w:val="22"/>
          <w:szCs w:val="22"/>
          <w:shd w:val="clear" w:color="auto" w:fill="FFFFFF"/>
        </w:rPr>
        <w:t>Administrador(es):</w:t>
      </w:r>
      <w:r>
        <w:rPr>
          <w:color w:val="000000" w:themeColor="text1"/>
          <w:sz w:val="22"/>
          <w:szCs w:val="22"/>
          <w:shd w:val="clear" w:color="auto" w:fill="FFFFFF"/>
        </w:rPr>
        <w:t xml:space="preserve"> significam os membros do Conselho de Administração e Diretores estatutários.</w:t>
      </w:r>
    </w:p>
    <w:p w14:paraId="752E835E" w14:textId="77777777" w:rsidR="004D3EA3" w:rsidRDefault="004D3EA3" w:rsidP="004D3EA3">
      <w:pPr>
        <w:pStyle w:val="Default"/>
        <w:spacing w:line="360" w:lineRule="auto"/>
        <w:ind w:left="567" w:hanging="567"/>
        <w:jc w:val="both"/>
        <w:rPr>
          <w:bCs/>
          <w:color w:val="auto"/>
          <w:sz w:val="22"/>
          <w:szCs w:val="22"/>
          <w:lang w:eastAsia="pt-BR"/>
        </w:rPr>
      </w:pPr>
    </w:p>
    <w:p w14:paraId="147296F3" w14:textId="77777777" w:rsidR="004D3EA3" w:rsidRDefault="004D3EA3">
      <w:pPr>
        <w:pStyle w:val="Default"/>
        <w:numPr>
          <w:ilvl w:val="0"/>
          <w:numId w:val="2"/>
        </w:numPr>
        <w:spacing w:line="360" w:lineRule="auto"/>
        <w:ind w:left="567" w:hanging="567"/>
        <w:jc w:val="both"/>
        <w:rPr>
          <w:bCs/>
          <w:color w:val="auto"/>
          <w:sz w:val="22"/>
          <w:szCs w:val="22"/>
        </w:rPr>
      </w:pPr>
      <w:r>
        <w:rPr>
          <w:b/>
          <w:color w:val="auto"/>
          <w:sz w:val="22"/>
          <w:szCs w:val="22"/>
        </w:rPr>
        <w:t>Ato de Concentração:</w:t>
      </w:r>
      <w:r>
        <w:rPr>
          <w:bCs/>
          <w:color w:val="auto"/>
          <w:sz w:val="22"/>
          <w:szCs w:val="22"/>
        </w:rPr>
        <w:t xml:space="preserve"> são considerados Atos de Concentração </w:t>
      </w:r>
      <w:r>
        <w:rPr>
          <w:b/>
          <w:iCs/>
          <w:color w:val="auto"/>
          <w:sz w:val="22"/>
          <w:szCs w:val="22"/>
        </w:rPr>
        <w:t>(a)</w:t>
      </w:r>
      <w:r>
        <w:rPr>
          <w:bCs/>
          <w:iCs/>
          <w:color w:val="auto"/>
          <w:sz w:val="22"/>
          <w:szCs w:val="22"/>
        </w:rPr>
        <w:t xml:space="preserve"> fusões de duas ou mais empresas anteriormente independentes; </w:t>
      </w:r>
      <w:r>
        <w:rPr>
          <w:b/>
          <w:iCs/>
          <w:color w:val="auto"/>
          <w:sz w:val="22"/>
          <w:szCs w:val="22"/>
        </w:rPr>
        <w:t>(b)</w:t>
      </w:r>
      <w:r>
        <w:rPr>
          <w:bCs/>
          <w:iCs/>
          <w:color w:val="auto"/>
          <w:sz w:val="22"/>
          <w:szCs w:val="22"/>
        </w:rPr>
        <w:t xml:space="preserve"> aquisição de controle ou de parte de uma ou mais empresas por outras; </w:t>
      </w:r>
      <w:r>
        <w:rPr>
          <w:b/>
          <w:iCs/>
          <w:color w:val="auto"/>
          <w:sz w:val="22"/>
          <w:szCs w:val="22"/>
        </w:rPr>
        <w:t>(c)</w:t>
      </w:r>
      <w:r>
        <w:rPr>
          <w:bCs/>
          <w:iCs/>
          <w:color w:val="auto"/>
          <w:sz w:val="22"/>
          <w:szCs w:val="22"/>
        </w:rPr>
        <w:t xml:space="preserve"> incorporações de uma ou mais empresas por outras; </w:t>
      </w:r>
      <w:r>
        <w:rPr>
          <w:b/>
          <w:iCs/>
          <w:color w:val="auto"/>
          <w:sz w:val="22"/>
          <w:szCs w:val="22"/>
        </w:rPr>
        <w:t>(d)</w:t>
      </w:r>
      <w:r>
        <w:rPr>
          <w:bCs/>
          <w:iCs/>
          <w:color w:val="auto"/>
          <w:sz w:val="22"/>
          <w:szCs w:val="22"/>
        </w:rPr>
        <w:t xml:space="preserve"> aquisição de determinados ativos tangíveis ou intangíveis; e </w:t>
      </w:r>
      <w:r>
        <w:rPr>
          <w:b/>
          <w:iCs/>
          <w:color w:val="auto"/>
          <w:sz w:val="22"/>
          <w:szCs w:val="22"/>
        </w:rPr>
        <w:t>(e)</w:t>
      </w:r>
      <w:r>
        <w:rPr>
          <w:bCs/>
          <w:iCs/>
          <w:color w:val="auto"/>
          <w:sz w:val="22"/>
          <w:szCs w:val="22"/>
        </w:rPr>
        <w:t xml:space="preserve"> celebração de contrato associativo, consórcio, </w:t>
      </w:r>
      <w:r>
        <w:rPr>
          <w:bCs/>
          <w:i/>
          <w:color w:val="auto"/>
          <w:sz w:val="22"/>
          <w:szCs w:val="22"/>
        </w:rPr>
        <w:t>joint venture</w:t>
      </w:r>
      <w:r>
        <w:rPr>
          <w:bCs/>
          <w:iCs/>
          <w:color w:val="auto"/>
          <w:sz w:val="22"/>
          <w:szCs w:val="22"/>
        </w:rPr>
        <w:t xml:space="preserve"> entre duas ou mais empresas. Consórcios ou associações formadas para participação em licitações promovidas pela administração pública</w:t>
      </w:r>
      <w:r>
        <w:rPr>
          <w:bCs/>
          <w:color w:val="auto"/>
          <w:sz w:val="22"/>
          <w:szCs w:val="22"/>
        </w:rPr>
        <w:t xml:space="preserve"> não são considerados Atos de Concentração. </w:t>
      </w:r>
    </w:p>
    <w:p w14:paraId="0B15AE0A" w14:textId="77777777" w:rsidR="004D3EA3" w:rsidRDefault="004D3EA3" w:rsidP="004D3EA3">
      <w:pPr>
        <w:pStyle w:val="Default"/>
        <w:spacing w:line="360" w:lineRule="auto"/>
        <w:ind w:left="567" w:hanging="567"/>
        <w:jc w:val="both"/>
        <w:rPr>
          <w:bCs/>
          <w:color w:val="auto"/>
          <w:sz w:val="22"/>
          <w:szCs w:val="22"/>
        </w:rPr>
      </w:pPr>
    </w:p>
    <w:p w14:paraId="59C26D3A" w14:textId="22649764" w:rsidR="004D3EA3" w:rsidRDefault="004D3EA3">
      <w:pPr>
        <w:pStyle w:val="Default"/>
        <w:numPr>
          <w:ilvl w:val="0"/>
          <w:numId w:val="2"/>
        </w:numPr>
        <w:spacing w:line="360" w:lineRule="auto"/>
        <w:ind w:left="567" w:hanging="567"/>
        <w:jc w:val="both"/>
        <w:rPr>
          <w:bCs/>
          <w:iCs/>
          <w:color w:val="auto"/>
          <w:sz w:val="22"/>
          <w:szCs w:val="22"/>
        </w:rPr>
      </w:pPr>
      <w:r>
        <w:rPr>
          <w:b/>
          <w:color w:val="auto"/>
          <w:sz w:val="22"/>
          <w:szCs w:val="22"/>
        </w:rPr>
        <w:t>Colaborador(es):</w:t>
      </w:r>
      <w:r>
        <w:rPr>
          <w:bCs/>
          <w:color w:val="auto"/>
          <w:sz w:val="22"/>
          <w:szCs w:val="22"/>
        </w:rPr>
        <w:t xml:space="preserve"> todas as pessoas que mantém vínculo estatutário ou empregatício com a Necta. São os integrantes do Conselho de Administração, dos </w:t>
      </w:r>
      <w:r>
        <w:rPr>
          <w:bCs/>
          <w:color w:val="auto"/>
          <w:sz w:val="22"/>
          <w:szCs w:val="22"/>
        </w:rPr>
        <w:lastRenderedPageBreak/>
        <w:t xml:space="preserve">Comitês Estatutários ou não Estatutários e da Diretoria Estatutária ou não Estatutária, bem como todos os empregados em tempo integral e </w:t>
      </w:r>
      <w:r>
        <w:rPr>
          <w:bCs/>
          <w:iCs/>
          <w:color w:val="auto"/>
          <w:sz w:val="22"/>
          <w:szCs w:val="22"/>
        </w:rPr>
        <w:t>temporário, empregados terceirizados e estagiários.</w:t>
      </w:r>
    </w:p>
    <w:p w14:paraId="12E541BC" w14:textId="77777777" w:rsidR="004D3EA3" w:rsidRDefault="004D3EA3" w:rsidP="004D3EA3">
      <w:pPr>
        <w:pStyle w:val="Default"/>
        <w:spacing w:line="360" w:lineRule="auto"/>
        <w:ind w:left="567" w:hanging="567"/>
        <w:jc w:val="both"/>
        <w:rPr>
          <w:bCs/>
          <w:iCs/>
          <w:color w:val="auto"/>
          <w:sz w:val="22"/>
          <w:szCs w:val="22"/>
        </w:rPr>
      </w:pPr>
    </w:p>
    <w:p w14:paraId="00177FD9" w14:textId="77AF5C1A" w:rsidR="004D3EA3" w:rsidRPr="00EE08A5" w:rsidRDefault="00B806B0">
      <w:pPr>
        <w:numPr>
          <w:ilvl w:val="0"/>
          <w:numId w:val="2"/>
        </w:numPr>
        <w:spacing w:after="0" w:line="360" w:lineRule="auto"/>
        <w:ind w:left="567" w:hanging="567"/>
        <w:jc w:val="both"/>
        <w:rPr>
          <w:rFonts w:ascii="Arial" w:hAnsi="Arial" w:cs="Arial"/>
          <w:bCs/>
          <w:iCs/>
        </w:rPr>
      </w:pPr>
      <w:r w:rsidRPr="00EE08A5">
        <w:rPr>
          <w:rFonts w:ascii="Arial" w:hAnsi="Arial" w:cs="Arial"/>
          <w:bCs/>
          <w:iCs/>
        </w:rPr>
        <w:t xml:space="preserve">Compass: </w:t>
      </w:r>
      <w:r w:rsidR="004D3EA3" w:rsidRPr="00EE08A5">
        <w:rPr>
          <w:rFonts w:ascii="Arial" w:hAnsi="Arial" w:cs="Arial"/>
          <w:bCs/>
          <w:iCs/>
        </w:rPr>
        <w:t xml:space="preserve"> é a </w:t>
      </w:r>
      <w:r w:rsidRPr="00EE08A5">
        <w:rPr>
          <w:rFonts w:ascii="Arial" w:hAnsi="Arial" w:cs="Arial"/>
          <w:bCs/>
          <w:iCs/>
        </w:rPr>
        <w:t xml:space="preserve">Compass Gas e </w:t>
      </w:r>
      <w:proofErr w:type="spellStart"/>
      <w:r w:rsidRPr="00EE08A5">
        <w:rPr>
          <w:rFonts w:ascii="Arial" w:hAnsi="Arial" w:cs="Arial"/>
          <w:bCs/>
          <w:iCs/>
        </w:rPr>
        <w:t>Energia</w:t>
      </w:r>
      <w:r w:rsidR="004D3EA3" w:rsidRPr="00EE08A5">
        <w:rPr>
          <w:rFonts w:ascii="Arial" w:hAnsi="Arial" w:cs="Arial"/>
          <w:bCs/>
          <w:iCs/>
        </w:rPr>
        <w:t>S.A</w:t>
      </w:r>
      <w:proofErr w:type="spellEnd"/>
      <w:r w:rsidR="004D3EA3" w:rsidRPr="00EE08A5">
        <w:rPr>
          <w:rFonts w:ascii="Arial" w:hAnsi="Arial" w:cs="Arial"/>
          <w:bCs/>
          <w:iCs/>
        </w:rPr>
        <w:t>., acionista da Necta.</w:t>
      </w:r>
    </w:p>
    <w:p w14:paraId="2090644D" w14:textId="77777777" w:rsidR="004D3EA3" w:rsidRDefault="004D3EA3" w:rsidP="004D3EA3">
      <w:pPr>
        <w:pStyle w:val="PargrafodaLista"/>
        <w:ind w:left="567" w:hanging="567"/>
        <w:rPr>
          <w:rFonts w:ascii="Arial" w:eastAsia="Times New Roman" w:hAnsi="Arial" w:cs="Arial"/>
          <w:b/>
          <w:iCs/>
        </w:rPr>
      </w:pPr>
    </w:p>
    <w:p w14:paraId="5E64A7DA" w14:textId="77777777" w:rsidR="004D3EA3" w:rsidRDefault="004D3EA3">
      <w:pPr>
        <w:pStyle w:val="Default"/>
        <w:numPr>
          <w:ilvl w:val="0"/>
          <w:numId w:val="2"/>
        </w:numPr>
        <w:spacing w:line="360" w:lineRule="auto"/>
        <w:ind w:left="567" w:hanging="567"/>
        <w:jc w:val="both"/>
        <w:rPr>
          <w:bCs/>
          <w:iCs/>
          <w:color w:val="auto"/>
          <w:sz w:val="22"/>
          <w:szCs w:val="22"/>
        </w:rPr>
      </w:pPr>
      <w:r>
        <w:rPr>
          <w:b/>
          <w:iCs/>
          <w:color w:val="auto"/>
          <w:sz w:val="22"/>
          <w:szCs w:val="22"/>
        </w:rPr>
        <w:t>Compliance:</w:t>
      </w:r>
      <w:r>
        <w:rPr>
          <w:bCs/>
          <w:iCs/>
          <w:color w:val="auto"/>
          <w:sz w:val="22"/>
          <w:szCs w:val="22"/>
        </w:rPr>
        <w:t xml:space="preserve"> estrutura responsável pela verificação de conformidade.</w:t>
      </w:r>
    </w:p>
    <w:p w14:paraId="5688416B" w14:textId="77777777" w:rsidR="004D3EA3" w:rsidRDefault="004D3EA3" w:rsidP="004D3EA3">
      <w:pPr>
        <w:pStyle w:val="Default"/>
        <w:spacing w:line="360" w:lineRule="auto"/>
        <w:ind w:left="567" w:hanging="567"/>
        <w:jc w:val="both"/>
        <w:rPr>
          <w:bCs/>
          <w:iCs/>
          <w:color w:val="auto"/>
          <w:sz w:val="22"/>
          <w:szCs w:val="22"/>
        </w:rPr>
      </w:pPr>
    </w:p>
    <w:p w14:paraId="44427CF0" w14:textId="77777777" w:rsidR="004D3EA3" w:rsidRDefault="004D3EA3">
      <w:pPr>
        <w:pStyle w:val="Default"/>
        <w:numPr>
          <w:ilvl w:val="0"/>
          <w:numId w:val="2"/>
        </w:numPr>
        <w:spacing w:line="360" w:lineRule="auto"/>
        <w:ind w:left="567" w:hanging="567"/>
        <w:jc w:val="both"/>
        <w:rPr>
          <w:bCs/>
          <w:color w:val="auto"/>
          <w:sz w:val="22"/>
          <w:szCs w:val="22"/>
        </w:rPr>
      </w:pPr>
      <w:r>
        <w:rPr>
          <w:b/>
          <w:iCs/>
          <w:color w:val="auto"/>
          <w:sz w:val="22"/>
          <w:szCs w:val="22"/>
        </w:rPr>
        <w:t>Condutas anticompetitivas:</w:t>
      </w:r>
      <w:r>
        <w:rPr>
          <w:bCs/>
          <w:iCs/>
          <w:color w:val="auto"/>
          <w:sz w:val="22"/>
          <w:szCs w:val="22"/>
        </w:rPr>
        <w:t xml:space="preserve"> adoção de prática que busque ou potencialmente possa causar os seguintes efeitos: (a) limitar, falsear</w:t>
      </w:r>
      <w:r>
        <w:rPr>
          <w:bCs/>
          <w:color w:val="auto"/>
          <w:sz w:val="22"/>
          <w:szCs w:val="22"/>
        </w:rPr>
        <w:t xml:space="preserve"> ou de qualquer forma prejudicar a livre concorrência; </w:t>
      </w:r>
      <w:r>
        <w:rPr>
          <w:bCs/>
          <w:iCs/>
          <w:color w:val="auto"/>
          <w:sz w:val="22"/>
          <w:szCs w:val="22"/>
        </w:rPr>
        <w:t>(b)</w:t>
      </w:r>
      <w:r>
        <w:rPr>
          <w:bCs/>
          <w:color w:val="auto"/>
          <w:sz w:val="22"/>
          <w:szCs w:val="22"/>
        </w:rPr>
        <w:t xml:space="preserve"> aumentar arbitrariamente os lucros do agente econômico; </w:t>
      </w:r>
      <w:r>
        <w:rPr>
          <w:b/>
          <w:iCs/>
          <w:color w:val="auto"/>
          <w:sz w:val="22"/>
          <w:szCs w:val="22"/>
        </w:rPr>
        <w:t>(c)</w:t>
      </w:r>
      <w:r>
        <w:rPr>
          <w:bCs/>
          <w:color w:val="auto"/>
          <w:sz w:val="22"/>
          <w:szCs w:val="22"/>
        </w:rPr>
        <w:t xml:space="preserve"> dominar mercado relevante de bens ou serviços; ou </w:t>
      </w:r>
      <w:r>
        <w:rPr>
          <w:b/>
          <w:iCs/>
          <w:color w:val="auto"/>
          <w:sz w:val="22"/>
          <w:szCs w:val="22"/>
        </w:rPr>
        <w:t>(d)</w:t>
      </w:r>
      <w:r>
        <w:rPr>
          <w:bCs/>
          <w:color w:val="auto"/>
          <w:sz w:val="22"/>
          <w:szCs w:val="22"/>
        </w:rPr>
        <w:t xml:space="preserve"> exercer seu Poder de Mercado de forma abusiva.</w:t>
      </w:r>
    </w:p>
    <w:p w14:paraId="45BFDF93" w14:textId="77777777" w:rsidR="004D3EA3" w:rsidRDefault="004D3EA3" w:rsidP="004D3EA3">
      <w:pPr>
        <w:pStyle w:val="Default"/>
        <w:spacing w:line="360" w:lineRule="auto"/>
        <w:ind w:left="567" w:hanging="567"/>
        <w:jc w:val="both"/>
        <w:rPr>
          <w:bCs/>
          <w:color w:val="auto"/>
          <w:sz w:val="22"/>
          <w:szCs w:val="22"/>
        </w:rPr>
      </w:pPr>
    </w:p>
    <w:p w14:paraId="6CF0E2D1" w14:textId="77777777" w:rsidR="004D3EA3" w:rsidRDefault="004D3EA3">
      <w:pPr>
        <w:pStyle w:val="Default"/>
        <w:numPr>
          <w:ilvl w:val="0"/>
          <w:numId w:val="2"/>
        </w:numPr>
        <w:spacing w:line="360" w:lineRule="auto"/>
        <w:ind w:left="567" w:hanging="567"/>
        <w:jc w:val="both"/>
        <w:rPr>
          <w:bCs/>
          <w:color w:val="auto"/>
          <w:sz w:val="22"/>
          <w:szCs w:val="22"/>
        </w:rPr>
      </w:pPr>
      <w:r>
        <w:rPr>
          <w:b/>
          <w:i/>
          <w:iCs/>
          <w:color w:val="auto"/>
          <w:sz w:val="22"/>
          <w:szCs w:val="22"/>
        </w:rPr>
        <w:t xml:space="preserve">Gun </w:t>
      </w:r>
      <w:proofErr w:type="spellStart"/>
      <w:r>
        <w:rPr>
          <w:b/>
          <w:i/>
          <w:iCs/>
          <w:color w:val="auto"/>
          <w:sz w:val="22"/>
          <w:szCs w:val="22"/>
        </w:rPr>
        <w:t>Jumping</w:t>
      </w:r>
      <w:proofErr w:type="spellEnd"/>
      <w:r>
        <w:rPr>
          <w:b/>
          <w:color w:val="auto"/>
          <w:sz w:val="22"/>
          <w:szCs w:val="22"/>
        </w:rPr>
        <w:t xml:space="preserve">: </w:t>
      </w:r>
      <w:r>
        <w:rPr>
          <w:bCs/>
          <w:color w:val="auto"/>
          <w:sz w:val="22"/>
          <w:szCs w:val="22"/>
        </w:rPr>
        <w:t>prática ilegal de consumar Atos de Concentração antes de sua aprovação pelo órgão antitruste.</w:t>
      </w:r>
    </w:p>
    <w:p w14:paraId="703A52A6" w14:textId="77777777" w:rsidR="004D3EA3" w:rsidRDefault="004D3EA3" w:rsidP="004D3EA3">
      <w:pPr>
        <w:pStyle w:val="PargrafodaLista"/>
        <w:ind w:left="567" w:hanging="567"/>
        <w:rPr>
          <w:rFonts w:ascii="Arial" w:hAnsi="Arial" w:cs="Arial"/>
          <w:bCs/>
        </w:rPr>
      </w:pPr>
    </w:p>
    <w:p w14:paraId="0881ABB6" w14:textId="77777777" w:rsidR="004D3EA3" w:rsidRDefault="004D3EA3">
      <w:pPr>
        <w:pStyle w:val="Default"/>
        <w:numPr>
          <w:ilvl w:val="0"/>
          <w:numId w:val="2"/>
        </w:numPr>
        <w:spacing w:line="360" w:lineRule="auto"/>
        <w:ind w:left="567" w:hanging="567"/>
        <w:jc w:val="both"/>
        <w:rPr>
          <w:bCs/>
          <w:color w:val="auto"/>
          <w:sz w:val="22"/>
          <w:szCs w:val="22"/>
        </w:rPr>
      </w:pPr>
      <w:r>
        <w:rPr>
          <w:b/>
          <w:color w:val="auto"/>
          <w:sz w:val="22"/>
          <w:szCs w:val="22"/>
        </w:rPr>
        <w:t>Informações Concorrencialmente Sensíveis:</w:t>
      </w:r>
      <w:r>
        <w:rPr>
          <w:bCs/>
          <w:color w:val="auto"/>
          <w:sz w:val="22"/>
          <w:szCs w:val="22"/>
        </w:rPr>
        <w:t xml:space="preserve"> informações e dados não públicos, recentes e não suficientemente agregados, relacionados ao negócio e à estratégias comerciais e concorrenciais da empresa, que possam facilitar a coordenação com concorrentes ou viabilizar vantagens competitivas relevantes caso acessadas por um rival, tais como preços, custos, produção, clientes e fornecedores, capacidade, planos de negócio e de investimentos, entre outros, sem prejuízo da possibilidade de trocar informações no âmbito de negócios legítimos, observados os cuidados no sentido de dessensibilizar as informações sensíveis de um ponto de vista concorrencial.</w:t>
      </w:r>
    </w:p>
    <w:p w14:paraId="71A50CE7" w14:textId="77777777" w:rsidR="004D3EA3" w:rsidRDefault="004D3EA3" w:rsidP="004D3EA3">
      <w:pPr>
        <w:pStyle w:val="Default"/>
        <w:spacing w:line="360" w:lineRule="auto"/>
        <w:ind w:left="567" w:hanging="567"/>
        <w:jc w:val="both"/>
        <w:rPr>
          <w:bCs/>
          <w:color w:val="auto"/>
          <w:sz w:val="22"/>
          <w:szCs w:val="22"/>
        </w:rPr>
      </w:pPr>
    </w:p>
    <w:p w14:paraId="63ECE510" w14:textId="77777777" w:rsidR="004D3EA3" w:rsidRDefault="004D3EA3">
      <w:pPr>
        <w:numPr>
          <w:ilvl w:val="0"/>
          <w:numId w:val="2"/>
        </w:numPr>
        <w:spacing w:after="0" w:line="360" w:lineRule="auto"/>
        <w:ind w:left="567" w:hanging="567"/>
        <w:jc w:val="both"/>
        <w:rPr>
          <w:rFonts w:ascii="Arial" w:eastAsia="Verdana" w:hAnsi="Arial" w:cs="Arial"/>
        </w:rPr>
      </w:pPr>
      <w:r>
        <w:rPr>
          <w:rFonts w:ascii="Arial" w:eastAsia="Verdana" w:hAnsi="Arial" w:cs="Arial"/>
          <w:b/>
          <w:bCs/>
        </w:rPr>
        <w:t>Leis Anticorrupção:</w:t>
      </w:r>
      <w:r>
        <w:rPr>
          <w:rFonts w:ascii="Arial" w:eastAsia="Verdana" w:hAnsi="Arial" w:cs="Arial"/>
        </w:rPr>
        <w:t xml:space="preserve"> são os seguintes atos normativos brasileiros e estrangeiros: (i) Lei n° 8.137/1990 (“</w:t>
      </w:r>
      <w:r>
        <w:rPr>
          <w:rFonts w:ascii="Arial" w:eastAsia="Verdana" w:hAnsi="Arial" w:cs="Arial"/>
          <w:u w:val="single"/>
        </w:rPr>
        <w:t>Lei dos Crimes contra a Ordem Econômica</w:t>
      </w:r>
      <w:r>
        <w:rPr>
          <w:rFonts w:ascii="Arial" w:eastAsia="Verdana" w:hAnsi="Arial" w:cs="Arial"/>
        </w:rPr>
        <w:t>”); (</w:t>
      </w:r>
      <w:proofErr w:type="spellStart"/>
      <w:r>
        <w:rPr>
          <w:rFonts w:ascii="Arial" w:eastAsia="Verdana" w:hAnsi="Arial" w:cs="Arial"/>
        </w:rPr>
        <w:t>ii</w:t>
      </w:r>
      <w:proofErr w:type="spellEnd"/>
      <w:r>
        <w:rPr>
          <w:rFonts w:ascii="Arial" w:eastAsia="Verdana" w:hAnsi="Arial" w:cs="Arial"/>
        </w:rPr>
        <w:t>) Lei nº 8.429/1992</w:t>
      </w:r>
      <w:r>
        <w:rPr>
          <w:rFonts w:ascii="Arial" w:hAnsi="Arial" w:cs="Arial"/>
          <w:shd w:val="clear" w:color="auto" w:fill="FFFFFF"/>
        </w:rPr>
        <w:t>, com alterações dadas pela Lei nº 14.230/2021</w:t>
      </w:r>
      <w:r>
        <w:rPr>
          <w:rFonts w:ascii="Arial" w:eastAsia="Verdana" w:hAnsi="Arial" w:cs="Arial"/>
        </w:rPr>
        <w:t xml:space="preserve"> (“</w:t>
      </w:r>
      <w:r>
        <w:rPr>
          <w:rFonts w:ascii="Arial" w:eastAsia="Verdana" w:hAnsi="Arial" w:cs="Arial"/>
          <w:u w:val="single"/>
        </w:rPr>
        <w:t xml:space="preserve">Lei de Improbidade </w:t>
      </w:r>
      <w:r>
        <w:rPr>
          <w:rFonts w:ascii="Arial" w:eastAsia="Verdana" w:hAnsi="Arial" w:cs="Arial"/>
          <w:u w:val="single"/>
        </w:rPr>
        <w:lastRenderedPageBreak/>
        <w:t>Administrativa</w:t>
      </w:r>
      <w:r>
        <w:rPr>
          <w:rFonts w:ascii="Arial" w:eastAsia="Verdana" w:hAnsi="Arial" w:cs="Arial"/>
        </w:rPr>
        <w:t>”); (</w:t>
      </w:r>
      <w:proofErr w:type="spellStart"/>
      <w:r>
        <w:rPr>
          <w:rFonts w:ascii="Arial" w:eastAsia="Verdana" w:hAnsi="Arial" w:cs="Arial"/>
        </w:rPr>
        <w:t>iii</w:t>
      </w:r>
      <w:proofErr w:type="spellEnd"/>
      <w:r>
        <w:rPr>
          <w:rFonts w:ascii="Arial" w:eastAsia="Verdana" w:hAnsi="Arial" w:cs="Arial"/>
        </w:rPr>
        <w:t>) Lei n</w:t>
      </w:r>
      <w:r>
        <w:rPr>
          <w:rFonts w:ascii="Arial" w:hAnsi="Arial" w:cs="Arial"/>
          <w:shd w:val="clear" w:color="auto" w:fill="FFFFFF"/>
        </w:rPr>
        <w:t xml:space="preserve">º 14.133, de 1º de abril de 2021 </w:t>
      </w:r>
      <w:r>
        <w:rPr>
          <w:rFonts w:ascii="Arial" w:eastAsia="Verdana" w:hAnsi="Arial" w:cs="Arial"/>
        </w:rPr>
        <w:t>(“</w:t>
      </w:r>
      <w:r>
        <w:rPr>
          <w:rFonts w:ascii="Arial" w:eastAsia="Verdana" w:hAnsi="Arial" w:cs="Arial"/>
          <w:u w:val="single"/>
        </w:rPr>
        <w:t>Lei de Licitações</w:t>
      </w:r>
      <w:r>
        <w:rPr>
          <w:rFonts w:ascii="Arial" w:eastAsia="Verdana" w:hAnsi="Arial" w:cs="Arial"/>
        </w:rPr>
        <w:t>”); (</w:t>
      </w:r>
      <w:proofErr w:type="spellStart"/>
      <w:r>
        <w:rPr>
          <w:rFonts w:ascii="Arial" w:eastAsia="Verdana" w:hAnsi="Arial" w:cs="Arial"/>
        </w:rPr>
        <w:t>iv</w:t>
      </w:r>
      <w:proofErr w:type="spellEnd"/>
      <w:r>
        <w:rPr>
          <w:rFonts w:ascii="Arial" w:eastAsia="Verdana" w:hAnsi="Arial" w:cs="Arial"/>
        </w:rPr>
        <w:t>) Lei nº 12.813/2013 (“</w:t>
      </w:r>
      <w:r>
        <w:rPr>
          <w:rFonts w:ascii="Arial" w:eastAsia="Verdana" w:hAnsi="Arial" w:cs="Arial"/>
          <w:u w:val="single"/>
        </w:rPr>
        <w:t>Lei de Conflito de Interesses</w:t>
      </w:r>
      <w:r>
        <w:rPr>
          <w:rFonts w:ascii="Arial" w:eastAsia="Verdana" w:hAnsi="Arial" w:cs="Arial"/>
        </w:rPr>
        <w:t>”); (v) Lei n° 12.846/2013, regulamentada pelo Decreto n11.129/2022 (“</w:t>
      </w:r>
      <w:r>
        <w:rPr>
          <w:rFonts w:ascii="Arial" w:eastAsia="Verdana" w:hAnsi="Arial" w:cs="Arial"/>
          <w:u w:val="single"/>
        </w:rPr>
        <w:t>Lei Anticorrupção Brasileira</w:t>
      </w:r>
      <w:r>
        <w:rPr>
          <w:rFonts w:ascii="Arial" w:eastAsia="Verdana" w:hAnsi="Arial" w:cs="Arial"/>
        </w:rPr>
        <w:t>”); (</w:t>
      </w:r>
      <w:proofErr w:type="spellStart"/>
      <w:r>
        <w:rPr>
          <w:rFonts w:ascii="Arial" w:eastAsia="Verdana" w:hAnsi="Arial" w:cs="Arial"/>
        </w:rPr>
        <w:t>vii</w:t>
      </w:r>
      <w:proofErr w:type="spellEnd"/>
      <w:r>
        <w:rPr>
          <w:rFonts w:ascii="Arial" w:eastAsia="Verdana" w:hAnsi="Arial" w:cs="Arial"/>
        </w:rPr>
        <w:t xml:space="preserve">) Lei Norte-Americana sobre Práticas de Corrupção no Exterior (“FCPA – </w:t>
      </w:r>
      <w:proofErr w:type="spellStart"/>
      <w:r>
        <w:rPr>
          <w:rFonts w:ascii="Arial" w:eastAsia="Verdana" w:hAnsi="Arial" w:cs="Arial"/>
        </w:rPr>
        <w:t>Foreign</w:t>
      </w:r>
      <w:proofErr w:type="spellEnd"/>
      <w:r>
        <w:rPr>
          <w:rFonts w:ascii="Arial" w:eastAsia="Verdana" w:hAnsi="Arial" w:cs="Arial"/>
        </w:rPr>
        <w:t xml:space="preserve"> </w:t>
      </w:r>
      <w:proofErr w:type="spellStart"/>
      <w:r>
        <w:rPr>
          <w:rFonts w:ascii="Arial" w:eastAsia="Verdana" w:hAnsi="Arial" w:cs="Arial"/>
        </w:rPr>
        <w:t>Corrupt</w:t>
      </w:r>
      <w:proofErr w:type="spellEnd"/>
      <w:r>
        <w:rPr>
          <w:rFonts w:ascii="Arial" w:eastAsia="Verdana" w:hAnsi="Arial" w:cs="Arial"/>
        </w:rPr>
        <w:t xml:space="preserve"> </w:t>
      </w:r>
      <w:proofErr w:type="spellStart"/>
      <w:r>
        <w:rPr>
          <w:rFonts w:ascii="Arial" w:eastAsia="Verdana" w:hAnsi="Arial" w:cs="Arial"/>
        </w:rPr>
        <w:t>Practices</w:t>
      </w:r>
      <w:proofErr w:type="spellEnd"/>
      <w:r>
        <w:rPr>
          <w:rFonts w:ascii="Arial" w:eastAsia="Verdana" w:hAnsi="Arial" w:cs="Arial"/>
        </w:rPr>
        <w:t xml:space="preserve"> </w:t>
      </w:r>
      <w:proofErr w:type="spellStart"/>
      <w:r>
        <w:rPr>
          <w:rFonts w:ascii="Arial" w:eastAsia="Verdana" w:hAnsi="Arial" w:cs="Arial"/>
        </w:rPr>
        <w:t>Act</w:t>
      </w:r>
      <w:proofErr w:type="spellEnd"/>
      <w:r>
        <w:rPr>
          <w:rFonts w:ascii="Arial" w:eastAsia="Verdana" w:hAnsi="Arial" w:cs="Arial"/>
        </w:rPr>
        <w:t>”) e (</w:t>
      </w:r>
      <w:proofErr w:type="spellStart"/>
      <w:r>
        <w:rPr>
          <w:rFonts w:ascii="Arial" w:eastAsia="Verdana" w:hAnsi="Arial" w:cs="Arial"/>
        </w:rPr>
        <w:t>viii</w:t>
      </w:r>
      <w:proofErr w:type="spellEnd"/>
      <w:r>
        <w:rPr>
          <w:rFonts w:ascii="Arial" w:eastAsia="Verdana" w:hAnsi="Arial" w:cs="Arial"/>
        </w:rPr>
        <w:t xml:space="preserve">) Lei Britânica de Anticorrupção (“UK </w:t>
      </w:r>
      <w:proofErr w:type="spellStart"/>
      <w:r>
        <w:rPr>
          <w:rFonts w:ascii="Arial" w:eastAsia="Verdana" w:hAnsi="Arial" w:cs="Arial"/>
        </w:rPr>
        <w:t>Bribery</w:t>
      </w:r>
      <w:proofErr w:type="spellEnd"/>
      <w:r>
        <w:rPr>
          <w:rFonts w:ascii="Arial" w:eastAsia="Verdana" w:hAnsi="Arial" w:cs="Arial"/>
        </w:rPr>
        <w:t xml:space="preserve"> </w:t>
      </w:r>
      <w:proofErr w:type="spellStart"/>
      <w:r>
        <w:rPr>
          <w:rFonts w:ascii="Arial" w:eastAsia="Verdana" w:hAnsi="Arial" w:cs="Arial"/>
        </w:rPr>
        <w:t>Act</w:t>
      </w:r>
      <w:proofErr w:type="spellEnd"/>
      <w:r>
        <w:rPr>
          <w:rFonts w:ascii="Arial" w:eastAsia="Verdana" w:hAnsi="Arial" w:cs="Arial"/>
        </w:rPr>
        <w:t>”).</w:t>
      </w:r>
    </w:p>
    <w:p w14:paraId="121C8D6D" w14:textId="77777777" w:rsidR="004D3EA3" w:rsidRDefault="004D3EA3" w:rsidP="004D3EA3">
      <w:pPr>
        <w:pStyle w:val="Texto-MattosFilho"/>
        <w:ind w:left="567" w:hanging="567"/>
        <w:rPr>
          <w:rFonts w:ascii="Arial" w:eastAsia="Verdana" w:hAnsi="Arial" w:cs="Arial"/>
        </w:rPr>
      </w:pPr>
    </w:p>
    <w:p w14:paraId="6C6A56AD" w14:textId="77777777" w:rsidR="004D3EA3" w:rsidRDefault="004D3EA3">
      <w:pPr>
        <w:pStyle w:val="Default"/>
        <w:numPr>
          <w:ilvl w:val="0"/>
          <w:numId w:val="2"/>
        </w:numPr>
        <w:spacing w:line="360" w:lineRule="auto"/>
        <w:ind w:left="567" w:hanging="567"/>
        <w:jc w:val="both"/>
        <w:rPr>
          <w:rFonts w:eastAsia="Times New Roman"/>
          <w:bCs/>
          <w:color w:val="auto"/>
          <w:sz w:val="22"/>
          <w:szCs w:val="22"/>
        </w:rPr>
      </w:pPr>
      <w:r>
        <w:rPr>
          <w:b/>
          <w:color w:val="auto"/>
          <w:sz w:val="22"/>
          <w:szCs w:val="22"/>
        </w:rPr>
        <w:t>Poder de Mercado:</w:t>
      </w:r>
      <w:r>
        <w:rPr>
          <w:bCs/>
          <w:color w:val="auto"/>
          <w:sz w:val="22"/>
          <w:szCs w:val="22"/>
        </w:rPr>
        <w:t xml:space="preserve"> é a capacidade da empresa de elevar seus preços acima do nível competitivo de mercado sem perder a sua clientela. Leva em consideração variáveis como a participação de mercado da empresa e as características do mercado e da concorrência, onde a elevação unilateral dos preços não recebe reação por parte dos concorrentes.</w:t>
      </w:r>
    </w:p>
    <w:p w14:paraId="468C2102" w14:textId="77777777" w:rsidR="004D3EA3" w:rsidRDefault="004D3EA3" w:rsidP="004D3EA3">
      <w:pPr>
        <w:pStyle w:val="Default"/>
        <w:spacing w:line="360" w:lineRule="auto"/>
        <w:ind w:left="567" w:hanging="567"/>
        <w:jc w:val="both"/>
        <w:rPr>
          <w:bCs/>
          <w:color w:val="auto"/>
          <w:sz w:val="22"/>
          <w:szCs w:val="22"/>
        </w:rPr>
      </w:pPr>
    </w:p>
    <w:p w14:paraId="08DB34CE" w14:textId="65FA572C" w:rsidR="004D3EA3" w:rsidRDefault="004D3EA3">
      <w:pPr>
        <w:pStyle w:val="Default"/>
        <w:numPr>
          <w:ilvl w:val="0"/>
          <w:numId w:val="2"/>
        </w:numPr>
        <w:spacing w:line="360" w:lineRule="auto"/>
        <w:ind w:left="567" w:hanging="567"/>
        <w:jc w:val="both"/>
        <w:rPr>
          <w:bCs/>
          <w:color w:val="auto"/>
          <w:sz w:val="22"/>
          <w:szCs w:val="22"/>
        </w:rPr>
      </w:pPr>
      <w:r>
        <w:rPr>
          <w:b/>
          <w:color w:val="auto"/>
          <w:sz w:val="22"/>
          <w:szCs w:val="22"/>
        </w:rPr>
        <w:t>Terceiro(s):</w:t>
      </w:r>
      <w:r>
        <w:rPr>
          <w:bCs/>
          <w:color w:val="auto"/>
          <w:sz w:val="22"/>
          <w:szCs w:val="22"/>
        </w:rPr>
        <w:t xml:space="preserve"> clientes, parceiros de negócios, agentes intermediários, procuradores, contratados, subcontratados e fornecedores de bens e serviços da Necta.</w:t>
      </w:r>
    </w:p>
    <w:p w14:paraId="5C85659A" w14:textId="77777777" w:rsidR="004D3EA3" w:rsidRDefault="004D3EA3" w:rsidP="004D3EA3">
      <w:pPr>
        <w:pStyle w:val="PargrafodaLista"/>
        <w:spacing w:line="360" w:lineRule="auto"/>
        <w:rPr>
          <w:rFonts w:ascii="Arial" w:hAnsi="Arial" w:cs="Arial"/>
          <w:bCs/>
        </w:rPr>
      </w:pPr>
    </w:p>
    <w:p w14:paraId="0497A994" w14:textId="77777777" w:rsidR="004D3EA3" w:rsidRDefault="004D3EA3">
      <w:pPr>
        <w:pStyle w:val="Texto-MattosFilho"/>
        <w:numPr>
          <w:ilvl w:val="0"/>
          <w:numId w:val="1"/>
        </w:numPr>
        <w:tabs>
          <w:tab w:val="left" w:pos="709"/>
        </w:tabs>
        <w:spacing w:line="360" w:lineRule="auto"/>
        <w:ind w:left="0" w:firstLine="0"/>
        <w:rPr>
          <w:rFonts w:ascii="Arial" w:hAnsi="Arial" w:cs="Arial"/>
          <w:b/>
          <w:szCs w:val="22"/>
        </w:rPr>
      </w:pPr>
      <w:r>
        <w:rPr>
          <w:rFonts w:ascii="Arial" w:hAnsi="Arial" w:cs="Arial"/>
          <w:b/>
          <w:szCs w:val="22"/>
        </w:rPr>
        <w:t>PREMISSAS BÁSICAS</w:t>
      </w:r>
    </w:p>
    <w:p w14:paraId="49514411" w14:textId="77777777" w:rsidR="004D3EA3" w:rsidRDefault="004D3EA3" w:rsidP="004D3EA3">
      <w:pPr>
        <w:pStyle w:val="Texto-MattosFilho"/>
        <w:spacing w:line="360" w:lineRule="auto"/>
        <w:rPr>
          <w:rFonts w:ascii="Arial" w:hAnsi="Arial" w:cs="Arial"/>
          <w:szCs w:val="22"/>
        </w:rPr>
      </w:pPr>
    </w:p>
    <w:p w14:paraId="4DAD2DF2" w14:textId="77777777"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A Lei Antitruste tem como principal objetivo prevenir e reprimir infrações à ordem econômica, orientando-se pela liberdade de iniciativa, livre concorrência, função social da propriedade, defesa dos consumidores e repressão ao abuso do poder econômico, preservando uma economia de livre mercado, em benefício da coletividade.</w:t>
      </w:r>
    </w:p>
    <w:p w14:paraId="07C87ABA" w14:textId="77777777" w:rsidR="004D3EA3" w:rsidRDefault="004D3EA3" w:rsidP="004D3EA3">
      <w:pPr>
        <w:pStyle w:val="Default"/>
        <w:tabs>
          <w:tab w:val="left" w:pos="709"/>
        </w:tabs>
        <w:spacing w:line="360" w:lineRule="auto"/>
        <w:jc w:val="both"/>
        <w:rPr>
          <w:color w:val="auto"/>
          <w:sz w:val="22"/>
          <w:szCs w:val="22"/>
        </w:rPr>
      </w:pPr>
    </w:p>
    <w:p w14:paraId="3118F4EF" w14:textId="77777777"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 xml:space="preserve">As entidades jurídicas devem agir de forma independente para a definição de preços, estabelecer níveis de produção, desenvolver vendas, criar estratégias de marketing, escolher mercados e selecionar clientes e fornecedores. </w:t>
      </w:r>
    </w:p>
    <w:p w14:paraId="2579339E" w14:textId="77777777" w:rsidR="004D3EA3" w:rsidRDefault="004D3EA3" w:rsidP="004D3EA3">
      <w:pPr>
        <w:pStyle w:val="Default"/>
        <w:tabs>
          <w:tab w:val="left" w:pos="709"/>
        </w:tabs>
        <w:spacing w:line="360" w:lineRule="auto"/>
        <w:jc w:val="both"/>
        <w:rPr>
          <w:color w:val="auto"/>
          <w:sz w:val="22"/>
          <w:szCs w:val="22"/>
        </w:rPr>
      </w:pPr>
    </w:p>
    <w:p w14:paraId="35BDF01E" w14:textId="235B2ED7"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 xml:space="preserve">A não observação da Lei Antitruste estabelece punições severas para pessoas físicas e jurídicas, além de ações que podem ser movidas por entidades vitimadas por tais violações, portanto, os aspectos definidos nesta Política devem ser plenamente </w:t>
      </w:r>
      <w:r>
        <w:rPr>
          <w:color w:val="auto"/>
          <w:sz w:val="22"/>
          <w:szCs w:val="22"/>
        </w:rPr>
        <w:lastRenderedPageBreak/>
        <w:t>observados e cumpridos por todos os Colaboradores e Terceiros atuando no âmbito dos negócios da Necta.</w:t>
      </w:r>
    </w:p>
    <w:p w14:paraId="52B17FD2" w14:textId="77777777" w:rsidR="004D3EA3" w:rsidRDefault="004D3EA3" w:rsidP="004D3EA3">
      <w:pPr>
        <w:pStyle w:val="PargrafodaLista"/>
        <w:spacing w:line="360" w:lineRule="auto"/>
        <w:rPr>
          <w:rFonts w:ascii="Arial" w:hAnsi="Arial" w:cs="Arial"/>
        </w:rPr>
      </w:pPr>
    </w:p>
    <w:p w14:paraId="7E817BB8" w14:textId="77777777" w:rsidR="004D3EA3" w:rsidRDefault="004D3EA3">
      <w:pPr>
        <w:pStyle w:val="Texto-MattosFilho"/>
        <w:numPr>
          <w:ilvl w:val="0"/>
          <w:numId w:val="1"/>
        </w:numPr>
        <w:tabs>
          <w:tab w:val="left" w:pos="709"/>
        </w:tabs>
        <w:spacing w:line="360" w:lineRule="auto"/>
        <w:ind w:left="0" w:firstLine="0"/>
        <w:rPr>
          <w:rFonts w:ascii="Arial" w:hAnsi="Arial" w:cs="Arial"/>
          <w:b/>
          <w:szCs w:val="22"/>
        </w:rPr>
      </w:pPr>
      <w:r>
        <w:rPr>
          <w:rFonts w:ascii="Arial" w:hAnsi="Arial" w:cs="Arial"/>
          <w:b/>
          <w:szCs w:val="22"/>
        </w:rPr>
        <w:t>RELACIONAMENTO COM CONCORRENTES</w:t>
      </w:r>
    </w:p>
    <w:p w14:paraId="48743947" w14:textId="77777777" w:rsidR="004D3EA3" w:rsidRDefault="004D3EA3" w:rsidP="004D3EA3">
      <w:pPr>
        <w:pStyle w:val="Default"/>
        <w:spacing w:line="360" w:lineRule="auto"/>
        <w:jc w:val="both"/>
        <w:rPr>
          <w:color w:val="auto"/>
          <w:sz w:val="22"/>
          <w:szCs w:val="22"/>
        </w:rPr>
      </w:pPr>
    </w:p>
    <w:p w14:paraId="2DC64750" w14:textId="77777777"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 xml:space="preserve">Os Colaboradores e Terceiros não poderão, em hipótese alguma, manter entendimentos, acordos ou planos com qualquer concorrente, com intuito de manipular ou ajustar preços, dividir mercados ou clientes, restringir ofertas, fraudar licitações nem qualquer outra ação que apresente um risco diverso de Condutas Anticompetitivas, uma vez que tais ações podem vir a caracterizar infrações à ordem econômica e à livre concorrência. </w:t>
      </w:r>
    </w:p>
    <w:p w14:paraId="2AAA9ED5" w14:textId="77777777" w:rsidR="004D3EA3" w:rsidRDefault="004D3EA3" w:rsidP="004D3EA3">
      <w:pPr>
        <w:pStyle w:val="Default"/>
        <w:spacing w:line="360" w:lineRule="auto"/>
        <w:jc w:val="both"/>
        <w:rPr>
          <w:color w:val="auto"/>
          <w:sz w:val="22"/>
          <w:szCs w:val="22"/>
        </w:rPr>
      </w:pPr>
    </w:p>
    <w:p w14:paraId="6E9C11E4" w14:textId="77777777" w:rsidR="004D3EA3" w:rsidRDefault="004D3EA3">
      <w:pPr>
        <w:pStyle w:val="Default"/>
        <w:numPr>
          <w:ilvl w:val="2"/>
          <w:numId w:val="1"/>
        </w:numPr>
        <w:tabs>
          <w:tab w:val="left" w:pos="709"/>
        </w:tabs>
        <w:spacing w:line="360" w:lineRule="auto"/>
        <w:ind w:left="0" w:firstLine="0"/>
        <w:jc w:val="both"/>
        <w:rPr>
          <w:color w:val="auto"/>
          <w:sz w:val="22"/>
          <w:szCs w:val="22"/>
        </w:rPr>
      </w:pPr>
      <w:r>
        <w:rPr>
          <w:color w:val="auto"/>
          <w:sz w:val="22"/>
          <w:szCs w:val="22"/>
        </w:rPr>
        <w:t xml:space="preserve">São terminantemente proibidas as seguintes práticas, sem prejuízo de outras que possam configurar Condutas Anticompetitivas: </w:t>
      </w:r>
    </w:p>
    <w:p w14:paraId="746740BA" w14:textId="77777777" w:rsidR="004D3EA3" w:rsidRDefault="004D3EA3" w:rsidP="004D3EA3">
      <w:pPr>
        <w:pStyle w:val="Default"/>
        <w:tabs>
          <w:tab w:val="left" w:pos="709"/>
        </w:tabs>
        <w:spacing w:line="360" w:lineRule="auto"/>
        <w:jc w:val="both"/>
        <w:rPr>
          <w:color w:val="auto"/>
          <w:sz w:val="22"/>
          <w:szCs w:val="22"/>
        </w:rPr>
      </w:pPr>
    </w:p>
    <w:p w14:paraId="382B04CD" w14:textId="77777777" w:rsidR="004D3EA3" w:rsidRPr="002431BC" w:rsidRDefault="004D3EA3">
      <w:pPr>
        <w:pStyle w:val="Default"/>
        <w:numPr>
          <w:ilvl w:val="0"/>
          <w:numId w:val="3"/>
        </w:numPr>
        <w:spacing w:line="360" w:lineRule="auto"/>
        <w:ind w:left="1276" w:hanging="567"/>
        <w:jc w:val="both"/>
        <w:rPr>
          <w:b/>
          <w:bCs/>
          <w:color w:val="auto"/>
          <w:sz w:val="22"/>
          <w:szCs w:val="22"/>
        </w:rPr>
      </w:pPr>
      <w:r>
        <w:rPr>
          <w:b/>
          <w:bCs/>
          <w:color w:val="auto"/>
          <w:sz w:val="22"/>
          <w:szCs w:val="22"/>
        </w:rPr>
        <w:t>Cartel</w:t>
      </w:r>
      <w:r>
        <w:rPr>
          <w:color w:val="auto"/>
          <w:sz w:val="22"/>
          <w:szCs w:val="22"/>
        </w:rPr>
        <w:t>: Realizar qualquer acordo ou prática combinada entre concorrentes para fixar ou manipular preços, dividir mercados ou clientes, estabelecer quotas ou restringir produção, adotar posturas previamente combinadas em licitação pública, ou que tenha por objeto qualquer variável concorrencialmente sensível. São proibidos não apenas cartéis que constituam combinações diretas e institucionalizadas entre concorrentes, mas também acordos ou práticas como as recém mencionadas que ocorram em outros ambientes, como em licitações, organizações de representação de classe ou outras associações.</w:t>
      </w:r>
    </w:p>
    <w:p w14:paraId="242A0375" w14:textId="77777777" w:rsidR="002431BC" w:rsidRDefault="002431BC" w:rsidP="002431BC">
      <w:pPr>
        <w:pStyle w:val="Default"/>
        <w:spacing w:line="360" w:lineRule="auto"/>
        <w:ind w:left="1276"/>
        <w:jc w:val="both"/>
        <w:rPr>
          <w:b/>
          <w:bCs/>
          <w:color w:val="auto"/>
          <w:sz w:val="22"/>
          <w:szCs w:val="22"/>
        </w:rPr>
      </w:pPr>
    </w:p>
    <w:p w14:paraId="6563EF3B" w14:textId="77777777" w:rsidR="004D3EA3" w:rsidRPr="002431BC" w:rsidRDefault="004D3EA3">
      <w:pPr>
        <w:pStyle w:val="Default"/>
        <w:numPr>
          <w:ilvl w:val="0"/>
          <w:numId w:val="3"/>
        </w:numPr>
        <w:spacing w:line="360" w:lineRule="auto"/>
        <w:ind w:left="1276" w:hanging="567"/>
        <w:jc w:val="both"/>
        <w:rPr>
          <w:b/>
          <w:bCs/>
          <w:color w:val="auto"/>
          <w:sz w:val="22"/>
          <w:szCs w:val="22"/>
        </w:rPr>
      </w:pPr>
      <w:r>
        <w:rPr>
          <w:b/>
          <w:bCs/>
          <w:iCs/>
          <w:color w:val="auto"/>
          <w:sz w:val="22"/>
          <w:szCs w:val="22"/>
        </w:rPr>
        <w:t>Compartilhamento de Informações Concorrencialmente Sensíveis:</w:t>
      </w:r>
      <w:r>
        <w:rPr>
          <w:iCs/>
          <w:color w:val="auto"/>
          <w:sz w:val="22"/>
          <w:szCs w:val="22"/>
        </w:rPr>
        <w:t xml:space="preserve"> Compartilhar, entre concorrentes, ainda que sem a garantia de acordo/celebração de negócio, Informações Concorrencialmente Sensíveis</w:t>
      </w:r>
      <w:r>
        <w:rPr>
          <w:color w:val="auto"/>
          <w:sz w:val="22"/>
          <w:szCs w:val="22"/>
        </w:rPr>
        <w:t>.</w:t>
      </w:r>
    </w:p>
    <w:p w14:paraId="19064EA4" w14:textId="77777777" w:rsidR="002431BC" w:rsidRDefault="002431BC" w:rsidP="002431BC">
      <w:pPr>
        <w:pStyle w:val="Default"/>
        <w:spacing w:line="360" w:lineRule="auto"/>
        <w:jc w:val="both"/>
        <w:rPr>
          <w:b/>
          <w:bCs/>
          <w:color w:val="auto"/>
          <w:sz w:val="22"/>
          <w:szCs w:val="22"/>
        </w:rPr>
      </w:pPr>
    </w:p>
    <w:p w14:paraId="45DDA491" w14:textId="77777777" w:rsidR="004D3EA3" w:rsidRDefault="004D3EA3">
      <w:pPr>
        <w:pStyle w:val="Default"/>
        <w:numPr>
          <w:ilvl w:val="0"/>
          <w:numId w:val="3"/>
        </w:numPr>
        <w:spacing w:line="360" w:lineRule="auto"/>
        <w:ind w:left="1276" w:hanging="567"/>
        <w:jc w:val="both"/>
        <w:rPr>
          <w:color w:val="auto"/>
          <w:sz w:val="22"/>
          <w:szCs w:val="22"/>
        </w:rPr>
      </w:pPr>
      <w:r>
        <w:rPr>
          <w:b/>
          <w:bCs/>
          <w:color w:val="auto"/>
          <w:sz w:val="22"/>
          <w:szCs w:val="22"/>
        </w:rPr>
        <w:lastRenderedPageBreak/>
        <w:t>Influência à conduta uniforme entre concorrentes</w:t>
      </w:r>
      <w:r>
        <w:rPr>
          <w:color w:val="auto"/>
          <w:sz w:val="22"/>
          <w:szCs w:val="22"/>
        </w:rPr>
        <w:t>: Promover, obter ou influenciar a adoção de conduta comercial uniforme ou concertada entre concorrentes, inclusive, mas não exclusivamente, no âmbito de associações comerciais ou de classe.</w:t>
      </w:r>
    </w:p>
    <w:p w14:paraId="30D25C64" w14:textId="77777777" w:rsidR="00FB651B" w:rsidRDefault="00FB651B" w:rsidP="00EE08A5">
      <w:pPr>
        <w:pStyle w:val="Default"/>
        <w:spacing w:line="360" w:lineRule="auto"/>
        <w:jc w:val="both"/>
        <w:rPr>
          <w:color w:val="auto"/>
          <w:sz w:val="22"/>
          <w:szCs w:val="22"/>
        </w:rPr>
      </w:pPr>
    </w:p>
    <w:p w14:paraId="62FF2B5C" w14:textId="77777777" w:rsidR="004D3EA3" w:rsidRDefault="004D3EA3">
      <w:pPr>
        <w:pStyle w:val="Default"/>
        <w:numPr>
          <w:ilvl w:val="0"/>
          <w:numId w:val="3"/>
        </w:numPr>
        <w:spacing w:line="360" w:lineRule="auto"/>
        <w:ind w:left="1276" w:hanging="567"/>
        <w:jc w:val="both"/>
        <w:rPr>
          <w:color w:val="auto"/>
          <w:sz w:val="22"/>
          <w:szCs w:val="22"/>
        </w:rPr>
      </w:pPr>
      <w:r>
        <w:rPr>
          <w:b/>
          <w:bCs/>
          <w:color w:val="auto"/>
          <w:sz w:val="22"/>
          <w:szCs w:val="22"/>
        </w:rPr>
        <w:t>Influência à conduta uniforme entre clientes:</w:t>
      </w:r>
      <w:r>
        <w:rPr>
          <w:color w:val="auto"/>
          <w:sz w:val="22"/>
          <w:szCs w:val="22"/>
        </w:rPr>
        <w:t xml:space="preserve"> Promover, auxiliar ou influenciar de maneira anticompetitiva a uniformidade de clientes, distribuidores ou revendedores para que coordenem sua atuação comercial.</w:t>
      </w:r>
    </w:p>
    <w:p w14:paraId="722F5CB5" w14:textId="77777777" w:rsidR="004D3EA3" w:rsidRDefault="004D3EA3" w:rsidP="004D3EA3">
      <w:pPr>
        <w:pStyle w:val="Default"/>
        <w:spacing w:line="360" w:lineRule="auto"/>
        <w:ind w:left="284"/>
        <w:jc w:val="both"/>
        <w:rPr>
          <w:b/>
          <w:bCs/>
          <w:color w:val="auto"/>
          <w:sz w:val="22"/>
          <w:szCs w:val="22"/>
        </w:rPr>
      </w:pPr>
    </w:p>
    <w:p w14:paraId="1E04885D" w14:textId="0DBDC1F5" w:rsidR="004D3EA3" w:rsidRDefault="004D3EA3">
      <w:pPr>
        <w:pStyle w:val="Default"/>
        <w:numPr>
          <w:ilvl w:val="2"/>
          <w:numId w:val="1"/>
        </w:numPr>
        <w:tabs>
          <w:tab w:val="left" w:pos="709"/>
        </w:tabs>
        <w:spacing w:line="360" w:lineRule="auto"/>
        <w:ind w:left="0" w:firstLine="0"/>
        <w:jc w:val="both"/>
        <w:rPr>
          <w:bCs/>
          <w:color w:val="auto"/>
          <w:sz w:val="22"/>
          <w:szCs w:val="22"/>
        </w:rPr>
      </w:pPr>
      <w:r>
        <w:rPr>
          <w:bCs/>
          <w:color w:val="auto"/>
          <w:sz w:val="22"/>
          <w:szCs w:val="22"/>
        </w:rPr>
        <w:t>Para evitar tais condutas, o Colaborador e o Terceiro, atuando em nome da Necta, deverão tomar as seguintes precauções, dentre outras:</w:t>
      </w:r>
    </w:p>
    <w:p w14:paraId="2EF00DF6" w14:textId="77777777" w:rsidR="004D3EA3" w:rsidRDefault="004D3EA3" w:rsidP="004D3EA3">
      <w:pPr>
        <w:pStyle w:val="Default"/>
        <w:spacing w:line="360" w:lineRule="auto"/>
        <w:ind w:left="1276" w:hanging="567"/>
        <w:jc w:val="both"/>
        <w:rPr>
          <w:bCs/>
          <w:color w:val="auto"/>
          <w:sz w:val="22"/>
          <w:szCs w:val="22"/>
        </w:rPr>
      </w:pPr>
    </w:p>
    <w:p w14:paraId="4A54565B" w14:textId="77777777" w:rsidR="004D3EA3" w:rsidRPr="002431BC" w:rsidRDefault="004D3EA3">
      <w:pPr>
        <w:pStyle w:val="Default"/>
        <w:numPr>
          <w:ilvl w:val="0"/>
          <w:numId w:val="4"/>
        </w:numPr>
        <w:tabs>
          <w:tab w:val="left" w:pos="1276"/>
        </w:tabs>
        <w:spacing w:line="360" w:lineRule="auto"/>
        <w:ind w:left="1276" w:hanging="567"/>
        <w:jc w:val="both"/>
        <w:rPr>
          <w:b/>
          <w:bCs/>
          <w:color w:val="auto"/>
          <w:sz w:val="22"/>
          <w:szCs w:val="22"/>
        </w:rPr>
      </w:pPr>
      <w:r>
        <w:rPr>
          <w:color w:val="auto"/>
          <w:sz w:val="22"/>
          <w:szCs w:val="22"/>
        </w:rPr>
        <w:t>Caso a conversa/reunião (presencial ou não) da qual o Colaborador e/ou terceiro participe com concorrentes caminhe para temas relacionados a informações concorrencialmente sensíveis, o Colaborador e/ou Terceiro deve recusar-se a tratar do tema e, caso o interlocutor insista no assunto, deverá encerrar imediatamente o contato e, se possível, solicitar para que conste em ata o motivo de sua saída;</w:t>
      </w:r>
    </w:p>
    <w:p w14:paraId="4C06EAA8" w14:textId="77777777" w:rsidR="002431BC" w:rsidRDefault="002431BC" w:rsidP="002431BC">
      <w:pPr>
        <w:pStyle w:val="Default"/>
        <w:tabs>
          <w:tab w:val="left" w:pos="1276"/>
        </w:tabs>
        <w:spacing w:line="360" w:lineRule="auto"/>
        <w:ind w:left="1276"/>
        <w:jc w:val="both"/>
        <w:rPr>
          <w:b/>
          <w:bCs/>
          <w:color w:val="auto"/>
          <w:sz w:val="22"/>
          <w:szCs w:val="22"/>
        </w:rPr>
      </w:pPr>
    </w:p>
    <w:p w14:paraId="2081BF8C" w14:textId="77777777" w:rsidR="004D3EA3" w:rsidRDefault="004D3EA3">
      <w:pPr>
        <w:pStyle w:val="Default"/>
        <w:numPr>
          <w:ilvl w:val="0"/>
          <w:numId w:val="4"/>
        </w:numPr>
        <w:tabs>
          <w:tab w:val="left" w:pos="993"/>
        </w:tabs>
        <w:spacing w:line="360" w:lineRule="auto"/>
        <w:ind w:left="1276" w:hanging="567"/>
        <w:jc w:val="both"/>
        <w:rPr>
          <w:color w:val="auto"/>
          <w:sz w:val="22"/>
          <w:szCs w:val="22"/>
        </w:rPr>
      </w:pPr>
      <w:r>
        <w:rPr>
          <w:color w:val="auto"/>
          <w:sz w:val="22"/>
          <w:szCs w:val="22"/>
        </w:rPr>
        <w:t xml:space="preserve">     Deve ser redobrada a atenção em reuniões e interações com concorrentes no âmbito de associações ou entidades de classe. Somente deve ser discutido aquilo que seja necessário para o interesse setorial e não devem ser trocadas Informações Concorrencialmente Sensíveis;</w:t>
      </w:r>
    </w:p>
    <w:p w14:paraId="776962E5" w14:textId="77777777" w:rsidR="002431BC" w:rsidRDefault="002431BC" w:rsidP="002431BC">
      <w:pPr>
        <w:pStyle w:val="Default"/>
        <w:tabs>
          <w:tab w:val="left" w:pos="993"/>
        </w:tabs>
        <w:spacing w:line="360" w:lineRule="auto"/>
        <w:jc w:val="both"/>
        <w:rPr>
          <w:color w:val="auto"/>
          <w:sz w:val="22"/>
          <w:szCs w:val="22"/>
        </w:rPr>
      </w:pPr>
    </w:p>
    <w:p w14:paraId="2C9E1336" w14:textId="77777777" w:rsidR="004D3EA3" w:rsidRDefault="004D3EA3">
      <w:pPr>
        <w:pStyle w:val="Default"/>
        <w:numPr>
          <w:ilvl w:val="0"/>
          <w:numId w:val="4"/>
        </w:numPr>
        <w:tabs>
          <w:tab w:val="left" w:pos="993"/>
        </w:tabs>
        <w:spacing w:line="360" w:lineRule="auto"/>
        <w:ind w:left="1276" w:hanging="567"/>
        <w:jc w:val="both"/>
        <w:rPr>
          <w:color w:val="auto"/>
          <w:sz w:val="22"/>
          <w:szCs w:val="22"/>
        </w:rPr>
      </w:pPr>
      <w:r>
        <w:rPr>
          <w:color w:val="auto"/>
          <w:sz w:val="22"/>
          <w:szCs w:val="22"/>
        </w:rPr>
        <w:t>Não devem ser buscadas informações concorrencialmente sensíveis de outros concorrentes;</w:t>
      </w:r>
    </w:p>
    <w:p w14:paraId="00514D56" w14:textId="77777777" w:rsidR="002431BC" w:rsidRDefault="002431BC" w:rsidP="002431BC">
      <w:pPr>
        <w:pStyle w:val="Default"/>
        <w:tabs>
          <w:tab w:val="left" w:pos="993"/>
        </w:tabs>
        <w:spacing w:line="360" w:lineRule="auto"/>
        <w:ind w:left="1276"/>
        <w:jc w:val="both"/>
        <w:rPr>
          <w:color w:val="auto"/>
          <w:sz w:val="22"/>
          <w:szCs w:val="22"/>
        </w:rPr>
      </w:pPr>
    </w:p>
    <w:p w14:paraId="4753BEAE" w14:textId="77777777" w:rsidR="004D3EA3" w:rsidRDefault="004D3EA3">
      <w:pPr>
        <w:pStyle w:val="Default"/>
        <w:numPr>
          <w:ilvl w:val="0"/>
          <w:numId w:val="4"/>
        </w:numPr>
        <w:tabs>
          <w:tab w:val="left" w:pos="993"/>
        </w:tabs>
        <w:spacing w:line="360" w:lineRule="auto"/>
        <w:ind w:left="1276" w:hanging="567"/>
        <w:jc w:val="both"/>
        <w:rPr>
          <w:color w:val="auto"/>
          <w:sz w:val="22"/>
          <w:szCs w:val="22"/>
        </w:rPr>
      </w:pPr>
      <w:r>
        <w:rPr>
          <w:color w:val="auto"/>
          <w:sz w:val="22"/>
          <w:szCs w:val="22"/>
        </w:rPr>
        <w:t>Assinar termos de confidencialidade (</w:t>
      </w:r>
      <w:r>
        <w:rPr>
          <w:i/>
          <w:color w:val="auto"/>
          <w:sz w:val="22"/>
          <w:szCs w:val="22"/>
        </w:rPr>
        <w:t xml:space="preserve">non </w:t>
      </w:r>
      <w:proofErr w:type="spellStart"/>
      <w:r>
        <w:rPr>
          <w:i/>
          <w:color w:val="auto"/>
          <w:sz w:val="22"/>
          <w:szCs w:val="22"/>
        </w:rPr>
        <w:t>disclosure</w:t>
      </w:r>
      <w:proofErr w:type="spellEnd"/>
      <w:r>
        <w:rPr>
          <w:i/>
          <w:color w:val="auto"/>
          <w:sz w:val="22"/>
          <w:szCs w:val="22"/>
        </w:rPr>
        <w:t xml:space="preserve"> </w:t>
      </w:r>
      <w:proofErr w:type="spellStart"/>
      <w:r>
        <w:rPr>
          <w:i/>
          <w:color w:val="auto"/>
          <w:sz w:val="22"/>
          <w:szCs w:val="22"/>
        </w:rPr>
        <w:t>agreements</w:t>
      </w:r>
      <w:proofErr w:type="spellEnd"/>
      <w:r>
        <w:rPr>
          <w:color w:val="auto"/>
          <w:sz w:val="22"/>
          <w:szCs w:val="22"/>
        </w:rPr>
        <w:t xml:space="preserve">) quando estiver negociando com concorrentes, delimitando o objeto da negociação </w:t>
      </w:r>
      <w:r>
        <w:rPr>
          <w:color w:val="auto"/>
          <w:sz w:val="22"/>
          <w:szCs w:val="22"/>
        </w:rPr>
        <w:lastRenderedPageBreak/>
        <w:t>e, quando for o caso, regras de conduta com o fim de evitar violações à Lei Antitruste;</w:t>
      </w:r>
    </w:p>
    <w:p w14:paraId="4234EE53" w14:textId="77777777" w:rsidR="002431BC" w:rsidRDefault="002431BC" w:rsidP="002431BC">
      <w:pPr>
        <w:pStyle w:val="Default"/>
        <w:tabs>
          <w:tab w:val="left" w:pos="993"/>
        </w:tabs>
        <w:spacing w:line="360" w:lineRule="auto"/>
        <w:jc w:val="both"/>
        <w:rPr>
          <w:color w:val="auto"/>
          <w:sz w:val="22"/>
          <w:szCs w:val="22"/>
        </w:rPr>
      </w:pPr>
    </w:p>
    <w:p w14:paraId="639553AC" w14:textId="3732FDE4" w:rsidR="002431BC" w:rsidRDefault="004D3EA3">
      <w:pPr>
        <w:pStyle w:val="Default"/>
        <w:numPr>
          <w:ilvl w:val="0"/>
          <w:numId w:val="4"/>
        </w:numPr>
        <w:tabs>
          <w:tab w:val="left" w:pos="1276"/>
        </w:tabs>
        <w:spacing w:line="360" w:lineRule="auto"/>
        <w:ind w:left="1276" w:hanging="567"/>
        <w:jc w:val="both"/>
        <w:rPr>
          <w:color w:val="auto"/>
          <w:sz w:val="22"/>
          <w:szCs w:val="22"/>
        </w:rPr>
      </w:pPr>
      <w:r>
        <w:rPr>
          <w:color w:val="auto"/>
          <w:sz w:val="22"/>
          <w:szCs w:val="22"/>
        </w:rPr>
        <w:t xml:space="preserve">Informações operacionais necessárias para eventuais negociações devem ser dessensibilizadas concorrencialmente (por exemplo, por meio de agregação e defasagem temporal), ou compartilhadas por vias adequadas e aceitas pela autoridade antitruste, como </w:t>
      </w:r>
      <w:r>
        <w:rPr>
          <w:i/>
          <w:iCs/>
          <w:color w:val="auto"/>
          <w:sz w:val="22"/>
          <w:szCs w:val="22"/>
        </w:rPr>
        <w:t xml:space="preserve">clean </w:t>
      </w:r>
      <w:proofErr w:type="spellStart"/>
      <w:r>
        <w:rPr>
          <w:i/>
          <w:iCs/>
          <w:color w:val="auto"/>
          <w:sz w:val="22"/>
          <w:szCs w:val="22"/>
        </w:rPr>
        <w:t>teams</w:t>
      </w:r>
      <w:proofErr w:type="spellEnd"/>
      <w:r>
        <w:rPr>
          <w:color w:val="auto"/>
          <w:sz w:val="22"/>
          <w:szCs w:val="22"/>
        </w:rPr>
        <w:t xml:space="preserve"> ou outros formatos; e</w:t>
      </w:r>
    </w:p>
    <w:p w14:paraId="34FAC6EA" w14:textId="77777777" w:rsidR="002431BC" w:rsidRPr="002431BC" w:rsidRDefault="002431BC" w:rsidP="002431BC">
      <w:pPr>
        <w:pStyle w:val="Default"/>
        <w:tabs>
          <w:tab w:val="left" w:pos="1276"/>
        </w:tabs>
        <w:spacing w:line="360" w:lineRule="auto"/>
        <w:jc w:val="both"/>
        <w:rPr>
          <w:color w:val="auto"/>
          <w:sz w:val="22"/>
          <w:szCs w:val="22"/>
        </w:rPr>
      </w:pPr>
    </w:p>
    <w:p w14:paraId="57249759" w14:textId="77777777" w:rsidR="004D3EA3" w:rsidRDefault="004D3EA3">
      <w:pPr>
        <w:pStyle w:val="Default"/>
        <w:numPr>
          <w:ilvl w:val="0"/>
          <w:numId w:val="4"/>
        </w:numPr>
        <w:tabs>
          <w:tab w:val="left" w:pos="993"/>
        </w:tabs>
        <w:spacing w:line="360" w:lineRule="auto"/>
        <w:ind w:left="1276" w:hanging="567"/>
        <w:jc w:val="both"/>
        <w:rPr>
          <w:color w:val="auto"/>
          <w:sz w:val="22"/>
          <w:szCs w:val="22"/>
        </w:rPr>
      </w:pPr>
      <w:r>
        <w:rPr>
          <w:color w:val="auto"/>
          <w:sz w:val="22"/>
          <w:szCs w:val="22"/>
        </w:rPr>
        <w:t>Devolver Informações Concorrencialmente Sensíveis recebidas indevidamente, apagá-las e informar ao remetente, arquivando o e-mail informando que a mensagem foi deletada.</w:t>
      </w:r>
    </w:p>
    <w:p w14:paraId="31CF1836" w14:textId="77777777" w:rsidR="004D3EA3" w:rsidRDefault="004D3EA3" w:rsidP="004D3EA3">
      <w:pPr>
        <w:pStyle w:val="Default"/>
        <w:spacing w:line="360" w:lineRule="auto"/>
        <w:jc w:val="both"/>
        <w:rPr>
          <w:color w:val="auto"/>
          <w:sz w:val="22"/>
          <w:szCs w:val="22"/>
        </w:rPr>
      </w:pPr>
    </w:p>
    <w:p w14:paraId="70E09227" w14:textId="30935F04" w:rsidR="004D3EA3" w:rsidRDefault="004D3EA3">
      <w:pPr>
        <w:pStyle w:val="Default"/>
        <w:numPr>
          <w:ilvl w:val="2"/>
          <w:numId w:val="1"/>
        </w:numPr>
        <w:tabs>
          <w:tab w:val="left" w:pos="709"/>
        </w:tabs>
        <w:spacing w:line="360" w:lineRule="auto"/>
        <w:ind w:left="0" w:firstLine="0"/>
        <w:jc w:val="both"/>
        <w:rPr>
          <w:color w:val="auto"/>
          <w:sz w:val="22"/>
          <w:szCs w:val="22"/>
        </w:rPr>
      </w:pPr>
      <w:r>
        <w:rPr>
          <w:color w:val="auto"/>
          <w:sz w:val="22"/>
          <w:szCs w:val="22"/>
        </w:rPr>
        <w:t xml:space="preserve">Ainda, quando do advento de um processo licitatório em que a Necta esteja participando, por sua vez, as seguintes condutas também são </w:t>
      </w:r>
      <w:r>
        <w:rPr>
          <w:color w:val="auto"/>
          <w:sz w:val="22"/>
          <w:szCs w:val="22"/>
          <w:u w:val="single"/>
        </w:rPr>
        <w:t>vedadas</w:t>
      </w:r>
      <w:r>
        <w:rPr>
          <w:color w:val="auto"/>
          <w:sz w:val="22"/>
          <w:szCs w:val="22"/>
        </w:rPr>
        <w:t>:</w:t>
      </w:r>
    </w:p>
    <w:p w14:paraId="7253C765" w14:textId="77777777" w:rsidR="004D3EA3" w:rsidRDefault="004D3EA3" w:rsidP="004D3EA3">
      <w:pPr>
        <w:pStyle w:val="Default"/>
        <w:spacing w:line="360" w:lineRule="auto"/>
        <w:jc w:val="both"/>
        <w:rPr>
          <w:color w:val="auto"/>
          <w:sz w:val="22"/>
          <w:szCs w:val="22"/>
        </w:rPr>
      </w:pPr>
    </w:p>
    <w:p w14:paraId="131556D2" w14:textId="77777777" w:rsidR="004D3EA3" w:rsidRDefault="004D3EA3">
      <w:pPr>
        <w:pStyle w:val="Default"/>
        <w:numPr>
          <w:ilvl w:val="0"/>
          <w:numId w:val="5"/>
        </w:numPr>
        <w:tabs>
          <w:tab w:val="left" w:pos="1276"/>
        </w:tabs>
        <w:spacing w:line="360" w:lineRule="auto"/>
        <w:ind w:left="1276" w:hanging="567"/>
        <w:jc w:val="both"/>
        <w:rPr>
          <w:color w:val="auto"/>
          <w:sz w:val="22"/>
          <w:szCs w:val="22"/>
        </w:rPr>
      </w:pPr>
      <w:r>
        <w:rPr>
          <w:color w:val="auto"/>
          <w:sz w:val="22"/>
          <w:szCs w:val="22"/>
        </w:rPr>
        <w:t xml:space="preserve">Definir ou sinalizar qualquer tipo de acordo com concorrente sobre apresentação ou supressão de propostas em concorrências ou licitações públicas, ressalvada a possibilidade de </w:t>
      </w:r>
      <w:proofErr w:type="spellStart"/>
      <w:r>
        <w:rPr>
          <w:color w:val="auto"/>
          <w:sz w:val="22"/>
          <w:szCs w:val="22"/>
        </w:rPr>
        <w:t>consorciamento</w:t>
      </w:r>
      <w:proofErr w:type="spellEnd"/>
      <w:r>
        <w:rPr>
          <w:color w:val="auto"/>
          <w:sz w:val="22"/>
          <w:szCs w:val="22"/>
        </w:rPr>
        <w:t>, quando assim previsto na lei e no edital, motivado por razões legítimas e competitivas;</w:t>
      </w:r>
    </w:p>
    <w:p w14:paraId="477AC389" w14:textId="77777777" w:rsidR="002431BC" w:rsidRDefault="002431BC" w:rsidP="002431BC">
      <w:pPr>
        <w:pStyle w:val="Default"/>
        <w:tabs>
          <w:tab w:val="left" w:pos="1276"/>
        </w:tabs>
        <w:spacing w:line="360" w:lineRule="auto"/>
        <w:ind w:left="1276"/>
        <w:jc w:val="both"/>
        <w:rPr>
          <w:color w:val="auto"/>
          <w:sz w:val="22"/>
          <w:szCs w:val="22"/>
        </w:rPr>
      </w:pPr>
    </w:p>
    <w:p w14:paraId="34B063C6" w14:textId="77777777" w:rsidR="004D3EA3" w:rsidRDefault="004D3EA3">
      <w:pPr>
        <w:pStyle w:val="Default"/>
        <w:numPr>
          <w:ilvl w:val="0"/>
          <w:numId w:val="5"/>
        </w:numPr>
        <w:tabs>
          <w:tab w:val="left" w:pos="1276"/>
        </w:tabs>
        <w:spacing w:line="360" w:lineRule="auto"/>
        <w:ind w:left="1276" w:hanging="567"/>
        <w:jc w:val="both"/>
        <w:rPr>
          <w:color w:val="auto"/>
          <w:sz w:val="22"/>
          <w:szCs w:val="22"/>
        </w:rPr>
      </w:pPr>
      <w:r>
        <w:rPr>
          <w:color w:val="auto"/>
          <w:sz w:val="22"/>
          <w:szCs w:val="22"/>
        </w:rPr>
        <w:t>Discutir previamente ou trocar informações específicas com concorrentes acerca de determinada licitação, tais como, propostas, níveis de preço, estratégias comerciais, entre outros.;</w:t>
      </w:r>
    </w:p>
    <w:p w14:paraId="2843F303" w14:textId="77777777" w:rsidR="002431BC" w:rsidRDefault="002431BC" w:rsidP="002431BC">
      <w:pPr>
        <w:pStyle w:val="Default"/>
        <w:tabs>
          <w:tab w:val="left" w:pos="1276"/>
        </w:tabs>
        <w:spacing w:line="360" w:lineRule="auto"/>
        <w:jc w:val="both"/>
        <w:rPr>
          <w:color w:val="auto"/>
          <w:sz w:val="22"/>
          <w:szCs w:val="22"/>
        </w:rPr>
      </w:pPr>
    </w:p>
    <w:p w14:paraId="6DF06038" w14:textId="3BF75A2F" w:rsidR="004D3EA3" w:rsidRDefault="004D3EA3">
      <w:pPr>
        <w:pStyle w:val="Default"/>
        <w:numPr>
          <w:ilvl w:val="0"/>
          <w:numId w:val="5"/>
        </w:numPr>
        <w:tabs>
          <w:tab w:val="left" w:pos="1276"/>
        </w:tabs>
        <w:spacing w:line="360" w:lineRule="auto"/>
        <w:ind w:left="1276" w:hanging="567"/>
        <w:jc w:val="both"/>
        <w:rPr>
          <w:color w:val="auto"/>
          <w:sz w:val="22"/>
          <w:szCs w:val="22"/>
        </w:rPr>
      </w:pPr>
      <w:r>
        <w:rPr>
          <w:color w:val="auto"/>
          <w:sz w:val="22"/>
          <w:szCs w:val="22"/>
        </w:rPr>
        <w:t>Divulgar a um concorrente a eventual participação da Necta ou de suas investidas em uma licitação;</w:t>
      </w:r>
    </w:p>
    <w:p w14:paraId="26B1A47D" w14:textId="77777777" w:rsidR="002431BC" w:rsidRDefault="002431BC" w:rsidP="002431BC">
      <w:pPr>
        <w:pStyle w:val="Default"/>
        <w:tabs>
          <w:tab w:val="left" w:pos="1276"/>
        </w:tabs>
        <w:spacing w:line="360" w:lineRule="auto"/>
        <w:jc w:val="both"/>
        <w:rPr>
          <w:color w:val="auto"/>
          <w:sz w:val="22"/>
          <w:szCs w:val="22"/>
        </w:rPr>
      </w:pPr>
    </w:p>
    <w:p w14:paraId="39A83483" w14:textId="77777777" w:rsidR="004D3EA3" w:rsidRDefault="004D3EA3">
      <w:pPr>
        <w:pStyle w:val="Default"/>
        <w:numPr>
          <w:ilvl w:val="0"/>
          <w:numId w:val="5"/>
        </w:numPr>
        <w:tabs>
          <w:tab w:val="left" w:pos="1276"/>
        </w:tabs>
        <w:spacing w:line="360" w:lineRule="auto"/>
        <w:ind w:left="1276" w:hanging="567"/>
        <w:jc w:val="both"/>
        <w:rPr>
          <w:color w:val="auto"/>
          <w:sz w:val="22"/>
          <w:szCs w:val="22"/>
        </w:rPr>
      </w:pPr>
      <w:r>
        <w:rPr>
          <w:color w:val="auto"/>
          <w:sz w:val="22"/>
          <w:szCs w:val="22"/>
        </w:rPr>
        <w:t>Submeter lances “protetivos”, nos quais os concorrentes acordam em submeter lances simbólicos para torná-los inaceitáveis;</w:t>
      </w:r>
    </w:p>
    <w:p w14:paraId="598A5A1C" w14:textId="77777777" w:rsidR="002431BC" w:rsidRDefault="002431BC" w:rsidP="002431BC">
      <w:pPr>
        <w:pStyle w:val="Default"/>
        <w:tabs>
          <w:tab w:val="left" w:pos="1276"/>
        </w:tabs>
        <w:spacing w:line="360" w:lineRule="auto"/>
        <w:jc w:val="both"/>
        <w:rPr>
          <w:color w:val="auto"/>
          <w:sz w:val="22"/>
          <w:szCs w:val="22"/>
        </w:rPr>
      </w:pPr>
    </w:p>
    <w:p w14:paraId="04F35C49" w14:textId="77777777" w:rsidR="004D3EA3" w:rsidRDefault="004D3EA3">
      <w:pPr>
        <w:pStyle w:val="Default"/>
        <w:numPr>
          <w:ilvl w:val="0"/>
          <w:numId w:val="5"/>
        </w:numPr>
        <w:tabs>
          <w:tab w:val="left" w:pos="1276"/>
        </w:tabs>
        <w:spacing w:line="360" w:lineRule="auto"/>
        <w:ind w:left="1276" w:hanging="567"/>
        <w:jc w:val="both"/>
        <w:rPr>
          <w:color w:val="auto"/>
          <w:sz w:val="22"/>
          <w:szCs w:val="22"/>
        </w:rPr>
      </w:pPr>
      <w:r>
        <w:rPr>
          <w:color w:val="auto"/>
          <w:sz w:val="22"/>
          <w:szCs w:val="22"/>
        </w:rPr>
        <w:t>Rodízio entre concorrentes para induzir a escolha do proponente que fará o melhor lance em uma licitação;</w:t>
      </w:r>
    </w:p>
    <w:p w14:paraId="13E8C92F" w14:textId="77777777" w:rsidR="002431BC" w:rsidRDefault="002431BC" w:rsidP="002431BC">
      <w:pPr>
        <w:pStyle w:val="Default"/>
        <w:tabs>
          <w:tab w:val="left" w:pos="1276"/>
        </w:tabs>
        <w:spacing w:line="360" w:lineRule="auto"/>
        <w:jc w:val="both"/>
        <w:rPr>
          <w:color w:val="auto"/>
          <w:sz w:val="22"/>
          <w:szCs w:val="22"/>
        </w:rPr>
      </w:pPr>
    </w:p>
    <w:p w14:paraId="07281611" w14:textId="77777777" w:rsidR="004D3EA3" w:rsidRDefault="004D3EA3">
      <w:pPr>
        <w:pStyle w:val="Default"/>
        <w:numPr>
          <w:ilvl w:val="0"/>
          <w:numId w:val="5"/>
        </w:numPr>
        <w:tabs>
          <w:tab w:val="left" w:pos="993"/>
        </w:tabs>
        <w:spacing w:line="360" w:lineRule="auto"/>
        <w:ind w:left="1276" w:hanging="567"/>
        <w:jc w:val="both"/>
        <w:rPr>
          <w:color w:val="auto"/>
          <w:sz w:val="22"/>
          <w:szCs w:val="22"/>
        </w:rPr>
      </w:pPr>
      <w:r>
        <w:rPr>
          <w:color w:val="auto"/>
          <w:sz w:val="22"/>
          <w:szCs w:val="22"/>
        </w:rPr>
        <w:t>Concordar em não participar de licitação ou retirar lances de modo a garantir que o lance de outro concorrente seja aceito; e</w:t>
      </w:r>
    </w:p>
    <w:p w14:paraId="24DA034F" w14:textId="77777777" w:rsidR="002431BC" w:rsidRDefault="002431BC" w:rsidP="002431BC">
      <w:pPr>
        <w:pStyle w:val="Default"/>
        <w:tabs>
          <w:tab w:val="left" w:pos="993"/>
        </w:tabs>
        <w:spacing w:line="360" w:lineRule="auto"/>
        <w:jc w:val="both"/>
        <w:rPr>
          <w:color w:val="auto"/>
          <w:sz w:val="22"/>
          <w:szCs w:val="22"/>
        </w:rPr>
      </w:pPr>
    </w:p>
    <w:p w14:paraId="27E350D6" w14:textId="77777777" w:rsidR="004D3EA3" w:rsidRDefault="004D3EA3">
      <w:pPr>
        <w:pStyle w:val="Default"/>
        <w:numPr>
          <w:ilvl w:val="0"/>
          <w:numId w:val="5"/>
        </w:numPr>
        <w:tabs>
          <w:tab w:val="left" w:pos="993"/>
        </w:tabs>
        <w:spacing w:line="360" w:lineRule="auto"/>
        <w:ind w:left="1276" w:hanging="567"/>
        <w:jc w:val="both"/>
        <w:rPr>
          <w:color w:val="auto"/>
          <w:sz w:val="22"/>
          <w:szCs w:val="22"/>
        </w:rPr>
      </w:pPr>
      <w:r>
        <w:rPr>
          <w:color w:val="auto"/>
          <w:sz w:val="22"/>
          <w:szCs w:val="22"/>
        </w:rPr>
        <w:t>Concordar em subcontratar um concorrente sob condição de que ele irá se abster de entrar na licitação ou de que irá submeter um lance “protetivo”.</w:t>
      </w:r>
    </w:p>
    <w:p w14:paraId="56A0E03B" w14:textId="77777777" w:rsidR="004D3EA3" w:rsidRDefault="004D3EA3" w:rsidP="004D3EA3">
      <w:pPr>
        <w:pStyle w:val="Default"/>
        <w:spacing w:line="360" w:lineRule="auto"/>
        <w:jc w:val="both"/>
        <w:rPr>
          <w:color w:val="auto"/>
          <w:sz w:val="22"/>
          <w:szCs w:val="22"/>
        </w:rPr>
      </w:pPr>
    </w:p>
    <w:p w14:paraId="74C72400" w14:textId="77777777" w:rsidR="004D3EA3" w:rsidRDefault="004D3EA3">
      <w:pPr>
        <w:pStyle w:val="Default"/>
        <w:numPr>
          <w:ilvl w:val="2"/>
          <w:numId w:val="1"/>
        </w:numPr>
        <w:tabs>
          <w:tab w:val="left" w:pos="709"/>
        </w:tabs>
        <w:spacing w:line="360" w:lineRule="auto"/>
        <w:ind w:left="0" w:firstLine="0"/>
        <w:jc w:val="both"/>
        <w:rPr>
          <w:color w:val="auto"/>
          <w:sz w:val="22"/>
          <w:szCs w:val="22"/>
        </w:rPr>
      </w:pPr>
      <w:r>
        <w:rPr>
          <w:color w:val="auto"/>
          <w:sz w:val="22"/>
          <w:szCs w:val="22"/>
        </w:rPr>
        <w:t>Atos de Concentração entre concorrentes também devem ser alvo de especial cuidado, conforme Item 7 abaixo.</w:t>
      </w:r>
    </w:p>
    <w:p w14:paraId="16BD1BC6" w14:textId="77777777" w:rsidR="004D3EA3" w:rsidRDefault="004D3EA3" w:rsidP="004D3EA3">
      <w:pPr>
        <w:pStyle w:val="Default"/>
        <w:spacing w:line="360" w:lineRule="auto"/>
        <w:jc w:val="both"/>
        <w:rPr>
          <w:color w:val="auto"/>
          <w:sz w:val="22"/>
          <w:szCs w:val="22"/>
        </w:rPr>
      </w:pPr>
    </w:p>
    <w:p w14:paraId="6FDF337F" w14:textId="77777777" w:rsidR="004D3EA3" w:rsidRDefault="004D3EA3">
      <w:pPr>
        <w:pStyle w:val="Default"/>
        <w:numPr>
          <w:ilvl w:val="0"/>
          <w:numId w:val="1"/>
        </w:numPr>
        <w:tabs>
          <w:tab w:val="left" w:pos="709"/>
        </w:tabs>
        <w:spacing w:line="360" w:lineRule="auto"/>
        <w:ind w:left="0" w:firstLine="0"/>
        <w:jc w:val="both"/>
        <w:rPr>
          <w:iCs/>
          <w:color w:val="auto"/>
          <w:sz w:val="22"/>
          <w:szCs w:val="22"/>
          <w:u w:val="single"/>
        </w:rPr>
      </w:pPr>
      <w:r>
        <w:rPr>
          <w:b/>
          <w:color w:val="auto"/>
          <w:sz w:val="22"/>
          <w:szCs w:val="22"/>
        </w:rPr>
        <w:t>RELACIONAMENTO COM TERCEIROS</w:t>
      </w:r>
    </w:p>
    <w:p w14:paraId="60C794A8" w14:textId="77777777" w:rsidR="004D3EA3" w:rsidRDefault="004D3EA3" w:rsidP="004D3EA3">
      <w:pPr>
        <w:pStyle w:val="Default"/>
        <w:spacing w:line="360" w:lineRule="auto"/>
        <w:jc w:val="both"/>
        <w:rPr>
          <w:color w:val="auto"/>
          <w:sz w:val="22"/>
          <w:szCs w:val="22"/>
        </w:rPr>
      </w:pPr>
    </w:p>
    <w:p w14:paraId="639EE53E" w14:textId="2D871B79"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Nas relações entre a Necta e Terceiros, também são necessários cuidados para evitar Condutas Anticompetitivas unilaterais e restrições verticais por parte da Necta em face de concorrentes, clientes e fornecedores, que causem ou possam causar efeitos negativos à coletividade e aos consumidores, por meio do abuso de eventual Poder de Mercado ou outra posição vantajosa da Necta.</w:t>
      </w:r>
    </w:p>
    <w:p w14:paraId="61CD7129" w14:textId="77777777" w:rsidR="004D3EA3" w:rsidRDefault="004D3EA3" w:rsidP="004D3EA3">
      <w:pPr>
        <w:pStyle w:val="Default"/>
        <w:spacing w:line="360" w:lineRule="auto"/>
        <w:jc w:val="both"/>
        <w:rPr>
          <w:color w:val="auto"/>
          <w:sz w:val="22"/>
          <w:szCs w:val="22"/>
        </w:rPr>
      </w:pPr>
    </w:p>
    <w:p w14:paraId="217B127B" w14:textId="30BA90E8"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 xml:space="preserve">Dessa forma, são terminantemente vedadas as seguintes condutas unilaterais, quando pautadas por fins anticompetitivos ou </w:t>
      </w:r>
      <w:proofErr w:type="spellStart"/>
      <w:r>
        <w:rPr>
          <w:color w:val="auto"/>
          <w:sz w:val="22"/>
          <w:szCs w:val="22"/>
        </w:rPr>
        <w:t>exclusionários</w:t>
      </w:r>
      <w:proofErr w:type="spellEnd"/>
      <w:r>
        <w:rPr>
          <w:color w:val="auto"/>
          <w:sz w:val="22"/>
          <w:szCs w:val="22"/>
        </w:rPr>
        <w:t>, utilizando-se de Poder de Mercado ou posição privilegiada eventualmente detidos pela Necta:</w:t>
      </w:r>
    </w:p>
    <w:p w14:paraId="0980B155" w14:textId="77777777" w:rsidR="004D3EA3" w:rsidRDefault="004D3EA3" w:rsidP="004D3EA3">
      <w:pPr>
        <w:pStyle w:val="Default"/>
        <w:spacing w:line="360" w:lineRule="auto"/>
        <w:jc w:val="both"/>
        <w:rPr>
          <w:color w:val="auto"/>
          <w:sz w:val="22"/>
          <w:szCs w:val="22"/>
        </w:rPr>
      </w:pPr>
    </w:p>
    <w:p w14:paraId="291FC9A5" w14:textId="77777777" w:rsidR="004D3EA3" w:rsidRPr="002431BC" w:rsidRDefault="004D3EA3">
      <w:pPr>
        <w:pStyle w:val="Default"/>
        <w:numPr>
          <w:ilvl w:val="0"/>
          <w:numId w:val="6"/>
        </w:numPr>
        <w:tabs>
          <w:tab w:val="left" w:pos="1418"/>
        </w:tabs>
        <w:spacing w:line="360" w:lineRule="auto"/>
        <w:ind w:left="1418" w:hanging="709"/>
        <w:jc w:val="both"/>
        <w:rPr>
          <w:b/>
          <w:color w:val="auto"/>
          <w:sz w:val="22"/>
          <w:szCs w:val="22"/>
        </w:rPr>
      </w:pPr>
      <w:r>
        <w:rPr>
          <w:bCs/>
          <w:color w:val="auto"/>
          <w:sz w:val="22"/>
          <w:szCs w:val="22"/>
        </w:rPr>
        <w:t xml:space="preserve">Firmar acordo de exclusividade ou se recusar a contratar com Terceiros, </w:t>
      </w:r>
      <w:r>
        <w:rPr>
          <w:color w:val="auto"/>
          <w:sz w:val="22"/>
          <w:szCs w:val="22"/>
        </w:rPr>
        <w:t>por motivos alheios a escolhas legítimas e racionais de negócio</w:t>
      </w:r>
      <w:r>
        <w:rPr>
          <w:bCs/>
          <w:color w:val="auto"/>
          <w:sz w:val="22"/>
          <w:szCs w:val="22"/>
        </w:rPr>
        <w:t>;</w:t>
      </w:r>
    </w:p>
    <w:p w14:paraId="0A228FC6" w14:textId="77777777" w:rsidR="002431BC" w:rsidRDefault="002431BC" w:rsidP="002431BC">
      <w:pPr>
        <w:pStyle w:val="Default"/>
        <w:tabs>
          <w:tab w:val="left" w:pos="1418"/>
        </w:tabs>
        <w:spacing w:line="360" w:lineRule="auto"/>
        <w:ind w:left="1418"/>
        <w:jc w:val="both"/>
        <w:rPr>
          <w:b/>
          <w:color w:val="auto"/>
          <w:sz w:val="22"/>
          <w:szCs w:val="22"/>
        </w:rPr>
      </w:pPr>
    </w:p>
    <w:p w14:paraId="43878885" w14:textId="77777777" w:rsidR="004D3EA3" w:rsidRDefault="004D3EA3">
      <w:pPr>
        <w:pStyle w:val="Default"/>
        <w:numPr>
          <w:ilvl w:val="0"/>
          <w:numId w:val="6"/>
        </w:numPr>
        <w:tabs>
          <w:tab w:val="left" w:pos="1418"/>
        </w:tabs>
        <w:spacing w:line="360" w:lineRule="auto"/>
        <w:ind w:left="1418" w:hanging="709"/>
        <w:jc w:val="both"/>
        <w:rPr>
          <w:iCs/>
          <w:color w:val="auto"/>
          <w:sz w:val="22"/>
          <w:szCs w:val="22"/>
        </w:rPr>
      </w:pPr>
      <w:r>
        <w:rPr>
          <w:iCs/>
          <w:color w:val="auto"/>
          <w:sz w:val="22"/>
          <w:szCs w:val="22"/>
        </w:rPr>
        <w:t xml:space="preserve">Fixar preços ou outras condições comerciais diferentes para o mesmo produto ou serviço, dentro de condições comerciais semelhantes, </w:t>
      </w:r>
      <w:r>
        <w:rPr>
          <w:iCs/>
          <w:color w:val="auto"/>
          <w:sz w:val="22"/>
          <w:szCs w:val="22"/>
        </w:rPr>
        <w:lastRenderedPageBreak/>
        <w:t>discriminando compradores ou fornecedores injustificadamente (“</w:t>
      </w:r>
      <w:r>
        <w:rPr>
          <w:iCs/>
          <w:color w:val="auto"/>
          <w:sz w:val="22"/>
          <w:szCs w:val="22"/>
          <w:u w:val="single"/>
        </w:rPr>
        <w:t>Discriminação</w:t>
      </w:r>
      <w:r>
        <w:rPr>
          <w:iCs/>
          <w:color w:val="auto"/>
          <w:sz w:val="22"/>
          <w:szCs w:val="22"/>
        </w:rPr>
        <w:t>”);</w:t>
      </w:r>
    </w:p>
    <w:p w14:paraId="6D72AFE6" w14:textId="77777777" w:rsidR="002431BC" w:rsidRDefault="002431BC" w:rsidP="002431BC">
      <w:pPr>
        <w:pStyle w:val="Default"/>
        <w:tabs>
          <w:tab w:val="left" w:pos="1418"/>
        </w:tabs>
        <w:spacing w:line="360" w:lineRule="auto"/>
        <w:jc w:val="both"/>
        <w:rPr>
          <w:iCs/>
          <w:color w:val="auto"/>
          <w:sz w:val="22"/>
          <w:szCs w:val="22"/>
        </w:rPr>
      </w:pPr>
    </w:p>
    <w:p w14:paraId="418D3E64" w14:textId="77777777" w:rsidR="004D3EA3" w:rsidRPr="002431BC" w:rsidRDefault="004D3EA3">
      <w:pPr>
        <w:pStyle w:val="Default"/>
        <w:numPr>
          <w:ilvl w:val="0"/>
          <w:numId w:val="6"/>
        </w:numPr>
        <w:tabs>
          <w:tab w:val="left" w:pos="1418"/>
        </w:tabs>
        <w:spacing w:line="360" w:lineRule="auto"/>
        <w:ind w:left="1418" w:hanging="709"/>
        <w:jc w:val="both"/>
        <w:rPr>
          <w:iCs/>
          <w:color w:val="auto"/>
          <w:sz w:val="22"/>
          <w:szCs w:val="22"/>
        </w:rPr>
      </w:pPr>
      <w:r>
        <w:rPr>
          <w:iCs/>
          <w:color w:val="auto"/>
          <w:sz w:val="22"/>
          <w:szCs w:val="22"/>
        </w:rPr>
        <w:t xml:space="preserve">Praticar preço predatório, </w:t>
      </w:r>
      <w:r>
        <w:rPr>
          <w:color w:val="auto"/>
          <w:sz w:val="22"/>
          <w:szCs w:val="22"/>
        </w:rPr>
        <w:t xml:space="preserve">assim entendido como </w:t>
      </w:r>
      <w:r>
        <w:rPr>
          <w:iCs/>
          <w:color w:val="auto"/>
          <w:sz w:val="22"/>
          <w:szCs w:val="22"/>
        </w:rPr>
        <w:t>a prática deliberada e injustificada de preços abaixo do custo visando eliminar concorrentes para, posteriormente, explorar o Poder de Mercado angariado com a prática predatória;</w:t>
      </w:r>
      <w:r>
        <w:rPr>
          <w:sz w:val="22"/>
          <w:szCs w:val="22"/>
          <w:shd w:val="clear" w:color="auto" w:fill="FFFFFF"/>
        </w:rPr>
        <w:t xml:space="preserve"> </w:t>
      </w:r>
    </w:p>
    <w:p w14:paraId="1890CC76" w14:textId="77777777" w:rsidR="002431BC" w:rsidRDefault="002431BC" w:rsidP="002431BC">
      <w:pPr>
        <w:pStyle w:val="PargrafodaLista"/>
        <w:rPr>
          <w:iCs/>
        </w:rPr>
      </w:pPr>
    </w:p>
    <w:p w14:paraId="629F67A1" w14:textId="77777777" w:rsidR="004D3EA3" w:rsidRPr="002431BC" w:rsidRDefault="004D3EA3">
      <w:pPr>
        <w:pStyle w:val="Default"/>
        <w:numPr>
          <w:ilvl w:val="0"/>
          <w:numId w:val="6"/>
        </w:numPr>
        <w:tabs>
          <w:tab w:val="left" w:pos="1418"/>
        </w:tabs>
        <w:spacing w:line="360" w:lineRule="auto"/>
        <w:ind w:left="1418" w:hanging="709"/>
        <w:jc w:val="both"/>
        <w:rPr>
          <w:iCs/>
          <w:color w:val="auto"/>
          <w:sz w:val="22"/>
          <w:szCs w:val="22"/>
          <w:u w:val="single"/>
        </w:rPr>
      </w:pPr>
      <w:r>
        <w:rPr>
          <w:iCs/>
          <w:color w:val="auto"/>
          <w:sz w:val="22"/>
          <w:szCs w:val="22"/>
        </w:rPr>
        <w:t>Fixar preços ou condições de revenda a ser praticado pelos distribuidores/revendedores de modo a gerar fixação ou coordenação de preços e variáveis concorrenciais, salvo situações específicas motivadas por razões legítimas de eficiência e de negócio, que não impliquem em efeitos anticompetitivos, após consulta ao Jurídico;</w:t>
      </w:r>
    </w:p>
    <w:p w14:paraId="5F688032" w14:textId="77777777" w:rsidR="002431BC" w:rsidRDefault="002431BC" w:rsidP="002431BC">
      <w:pPr>
        <w:pStyle w:val="Default"/>
        <w:tabs>
          <w:tab w:val="left" w:pos="1418"/>
        </w:tabs>
        <w:spacing w:line="360" w:lineRule="auto"/>
        <w:ind w:left="1418"/>
        <w:jc w:val="both"/>
        <w:rPr>
          <w:iCs/>
          <w:color w:val="auto"/>
          <w:sz w:val="22"/>
          <w:szCs w:val="22"/>
          <w:u w:val="single"/>
        </w:rPr>
      </w:pPr>
    </w:p>
    <w:p w14:paraId="18577B82" w14:textId="77777777" w:rsidR="004D3EA3" w:rsidRPr="002431BC" w:rsidRDefault="004D3EA3">
      <w:pPr>
        <w:pStyle w:val="Default"/>
        <w:numPr>
          <w:ilvl w:val="0"/>
          <w:numId w:val="6"/>
        </w:numPr>
        <w:tabs>
          <w:tab w:val="left" w:pos="1418"/>
        </w:tabs>
        <w:spacing w:line="360" w:lineRule="auto"/>
        <w:ind w:left="1418" w:hanging="709"/>
        <w:jc w:val="both"/>
        <w:rPr>
          <w:color w:val="auto"/>
          <w:sz w:val="22"/>
          <w:szCs w:val="22"/>
        </w:rPr>
      </w:pPr>
      <w:r>
        <w:rPr>
          <w:iCs/>
          <w:color w:val="auto"/>
          <w:sz w:val="22"/>
          <w:szCs w:val="22"/>
        </w:rPr>
        <w:t>Ofertar um determinado bem ou serviço e impor, para a sua venda, que o comprador adquira um outro bem ou serviço (“</w:t>
      </w:r>
      <w:r>
        <w:rPr>
          <w:iCs/>
          <w:color w:val="auto"/>
          <w:sz w:val="22"/>
          <w:szCs w:val="22"/>
          <w:u w:val="single"/>
        </w:rPr>
        <w:t>Venda Casada</w:t>
      </w:r>
      <w:r>
        <w:rPr>
          <w:iCs/>
          <w:color w:val="auto"/>
          <w:sz w:val="22"/>
          <w:szCs w:val="22"/>
        </w:rPr>
        <w:t>”); e</w:t>
      </w:r>
    </w:p>
    <w:p w14:paraId="0758012B" w14:textId="77777777" w:rsidR="002431BC" w:rsidRDefault="002431BC" w:rsidP="002431BC">
      <w:pPr>
        <w:pStyle w:val="Default"/>
        <w:tabs>
          <w:tab w:val="left" w:pos="1418"/>
        </w:tabs>
        <w:spacing w:line="360" w:lineRule="auto"/>
        <w:jc w:val="both"/>
        <w:rPr>
          <w:color w:val="auto"/>
          <w:sz w:val="22"/>
          <w:szCs w:val="22"/>
        </w:rPr>
      </w:pPr>
    </w:p>
    <w:p w14:paraId="6F29F2E8" w14:textId="77777777" w:rsidR="004D3EA3" w:rsidRDefault="004D3EA3">
      <w:pPr>
        <w:pStyle w:val="Default"/>
        <w:numPr>
          <w:ilvl w:val="0"/>
          <w:numId w:val="6"/>
        </w:numPr>
        <w:spacing w:line="360" w:lineRule="auto"/>
        <w:ind w:left="1418" w:hanging="709"/>
        <w:jc w:val="both"/>
        <w:rPr>
          <w:color w:val="auto"/>
          <w:sz w:val="22"/>
          <w:szCs w:val="22"/>
        </w:rPr>
      </w:pPr>
      <w:r>
        <w:rPr>
          <w:color w:val="auto"/>
          <w:sz w:val="22"/>
          <w:szCs w:val="22"/>
        </w:rPr>
        <w:t>Adotar condutas para eliminar ou aumentar os custos de concorrentes em um determinado mercado, quando tais ações não forem resultantes da atuação normal e legítima de negócio decorrente de maior eficiência.</w:t>
      </w:r>
    </w:p>
    <w:p w14:paraId="37588F77" w14:textId="77777777" w:rsidR="004D3EA3" w:rsidRDefault="004D3EA3" w:rsidP="004D3EA3">
      <w:pPr>
        <w:pStyle w:val="Default"/>
        <w:spacing w:line="360" w:lineRule="auto"/>
        <w:ind w:left="720"/>
        <w:jc w:val="both"/>
        <w:rPr>
          <w:b/>
          <w:bCs/>
          <w:color w:val="auto"/>
          <w:sz w:val="22"/>
          <w:szCs w:val="22"/>
        </w:rPr>
      </w:pPr>
    </w:p>
    <w:p w14:paraId="5B849255" w14:textId="77777777" w:rsidR="004D3EA3" w:rsidRDefault="004D3EA3">
      <w:pPr>
        <w:pStyle w:val="Default"/>
        <w:numPr>
          <w:ilvl w:val="0"/>
          <w:numId w:val="1"/>
        </w:numPr>
        <w:tabs>
          <w:tab w:val="left" w:pos="709"/>
        </w:tabs>
        <w:spacing w:line="360" w:lineRule="auto"/>
        <w:ind w:left="0" w:firstLine="0"/>
        <w:jc w:val="both"/>
        <w:rPr>
          <w:b/>
          <w:bCs/>
          <w:color w:val="auto"/>
          <w:sz w:val="22"/>
          <w:szCs w:val="22"/>
        </w:rPr>
      </w:pPr>
      <w:r>
        <w:rPr>
          <w:b/>
          <w:bCs/>
          <w:color w:val="auto"/>
          <w:sz w:val="22"/>
          <w:szCs w:val="22"/>
        </w:rPr>
        <w:t>ATOS DE CONCENTRAÇÃO</w:t>
      </w:r>
    </w:p>
    <w:p w14:paraId="07EEB960" w14:textId="77777777" w:rsidR="004D3EA3" w:rsidRDefault="004D3EA3" w:rsidP="004D3EA3">
      <w:pPr>
        <w:pStyle w:val="Default"/>
        <w:tabs>
          <w:tab w:val="left" w:pos="426"/>
        </w:tabs>
        <w:spacing w:line="360" w:lineRule="auto"/>
        <w:jc w:val="both"/>
        <w:rPr>
          <w:bCs/>
          <w:color w:val="auto"/>
          <w:sz w:val="22"/>
          <w:szCs w:val="22"/>
        </w:rPr>
      </w:pPr>
    </w:p>
    <w:p w14:paraId="6C4A39F7" w14:textId="77777777" w:rsidR="004D3EA3" w:rsidRDefault="004D3EA3">
      <w:pPr>
        <w:pStyle w:val="Default"/>
        <w:numPr>
          <w:ilvl w:val="1"/>
          <w:numId w:val="1"/>
        </w:numPr>
        <w:tabs>
          <w:tab w:val="left" w:pos="709"/>
        </w:tabs>
        <w:spacing w:line="360" w:lineRule="auto"/>
        <w:ind w:left="0" w:firstLine="0"/>
        <w:jc w:val="both"/>
        <w:rPr>
          <w:bCs/>
          <w:color w:val="auto"/>
          <w:sz w:val="22"/>
          <w:szCs w:val="22"/>
        </w:rPr>
      </w:pPr>
      <w:r>
        <w:rPr>
          <w:bCs/>
          <w:color w:val="auto"/>
          <w:sz w:val="22"/>
          <w:szCs w:val="22"/>
        </w:rPr>
        <w:t>De forma a manter o equilíbrio do mercado e a competitividade, o Conselho Administrativo de Defesa Econômica (“</w:t>
      </w:r>
      <w:r>
        <w:rPr>
          <w:bCs/>
          <w:color w:val="auto"/>
          <w:sz w:val="22"/>
          <w:szCs w:val="22"/>
          <w:u w:val="single"/>
        </w:rPr>
        <w:t>CADE</w:t>
      </w:r>
      <w:r>
        <w:rPr>
          <w:bCs/>
          <w:color w:val="auto"/>
          <w:sz w:val="22"/>
          <w:szCs w:val="22"/>
        </w:rPr>
        <w:t xml:space="preserve">”) exerce o controle dos Atos de Concentração, sendo certo que tais atos, quando notificáveis nos termos dos artigos 88 e 90 da Lei de Defesa da Concorrência, devem ser submetidos à aprovação prévia do CADE, o que significa que, até a decisão final sobre o Ato de Concentração, os Colaboradores e Terceiros deverão observar as condições de concorrência entre as empresas envolvidas na operação, de modo a evitar a prática de </w:t>
      </w:r>
      <w:r>
        <w:rPr>
          <w:bCs/>
          <w:i/>
          <w:color w:val="auto"/>
          <w:sz w:val="22"/>
          <w:szCs w:val="22"/>
        </w:rPr>
        <w:t xml:space="preserve">Gun </w:t>
      </w:r>
      <w:proofErr w:type="spellStart"/>
      <w:r>
        <w:rPr>
          <w:bCs/>
          <w:i/>
          <w:color w:val="auto"/>
          <w:sz w:val="22"/>
          <w:szCs w:val="22"/>
        </w:rPr>
        <w:t>Jumping</w:t>
      </w:r>
      <w:proofErr w:type="spellEnd"/>
      <w:r>
        <w:rPr>
          <w:bCs/>
          <w:color w:val="auto"/>
          <w:sz w:val="22"/>
          <w:szCs w:val="22"/>
        </w:rPr>
        <w:t xml:space="preserve">. </w:t>
      </w:r>
    </w:p>
    <w:p w14:paraId="769EAB5E" w14:textId="77777777" w:rsidR="004D3EA3" w:rsidRDefault="004D3EA3" w:rsidP="004D3EA3">
      <w:pPr>
        <w:pStyle w:val="Default"/>
        <w:spacing w:line="360" w:lineRule="auto"/>
        <w:ind w:left="720"/>
        <w:jc w:val="both"/>
        <w:rPr>
          <w:b/>
          <w:bCs/>
          <w:color w:val="auto"/>
          <w:sz w:val="22"/>
          <w:szCs w:val="22"/>
        </w:rPr>
      </w:pPr>
    </w:p>
    <w:p w14:paraId="4021320E" w14:textId="77777777" w:rsidR="004D3EA3" w:rsidRDefault="004D3EA3">
      <w:pPr>
        <w:pStyle w:val="Default"/>
        <w:numPr>
          <w:ilvl w:val="2"/>
          <w:numId w:val="1"/>
        </w:numPr>
        <w:tabs>
          <w:tab w:val="left" w:pos="709"/>
        </w:tabs>
        <w:spacing w:line="360" w:lineRule="auto"/>
        <w:ind w:left="0" w:firstLine="0"/>
        <w:jc w:val="both"/>
        <w:rPr>
          <w:bCs/>
          <w:color w:val="auto"/>
          <w:sz w:val="22"/>
          <w:szCs w:val="22"/>
        </w:rPr>
      </w:pPr>
      <w:r>
        <w:rPr>
          <w:bCs/>
          <w:color w:val="auto"/>
          <w:sz w:val="22"/>
          <w:szCs w:val="22"/>
        </w:rPr>
        <w:t>Nas operações sujeitas à aprovação do CADE, os Colaboradores e Terceiros, antes de decisão final e transitada em julgado da autoridade antitruste, não devem:</w:t>
      </w:r>
    </w:p>
    <w:p w14:paraId="548A1522" w14:textId="77777777" w:rsidR="004D3EA3" w:rsidRDefault="004D3EA3" w:rsidP="004D3EA3">
      <w:pPr>
        <w:pStyle w:val="Default"/>
        <w:spacing w:line="360" w:lineRule="auto"/>
        <w:jc w:val="both"/>
        <w:rPr>
          <w:bCs/>
          <w:color w:val="auto"/>
          <w:sz w:val="22"/>
          <w:szCs w:val="22"/>
        </w:rPr>
      </w:pPr>
    </w:p>
    <w:p w14:paraId="50598F38" w14:textId="77777777" w:rsidR="004D3EA3" w:rsidRDefault="004D3EA3">
      <w:pPr>
        <w:pStyle w:val="Default"/>
        <w:numPr>
          <w:ilvl w:val="0"/>
          <w:numId w:val="7"/>
        </w:numPr>
        <w:tabs>
          <w:tab w:val="left" w:pos="1418"/>
        </w:tabs>
        <w:spacing w:line="360" w:lineRule="auto"/>
        <w:ind w:left="1418" w:hanging="709"/>
        <w:jc w:val="both"/>
        <w:rPr>
          <w:b/>
          <w:bCs/>
          <w:color w:val="auto"/>
          <w:sz w:val="22"/>
          <w:szCs w:val="22"/>
        </w:rPr>
      </w:pPr>
      <w:r>
        <w:rPr>
          <w:color w:val="auto"/>
          <w:sz w:val="22"/>
          <w:szCs w:val="22"/>
        </w:rPr>
        <w:t xml:space="preserve">Compartilhar com a outra parte, especialmente se concorrente, antes ou durante as operações societárias, informações concorrencialmente sensíveis, salvo se dessensibilizadas concorrencialmente (por exemplo, por meio de agregação e defasagem temporal), ou compartilhadas por vias adequadas e aceitas pela autoridade antitruste, como via </w:t>
      </w:r>
      <w:r>
        <w:rPr>
          <w:i/>
          <w:iCs/>
          <w:color w:val="auto"/>
          <w:sz w:val="22"/>
          <w:szCs w:val="22"/>
        </w:rPr>
        <w:t xml:space="preserve">clean </w:t>
      </w:r>
      <w:proofErr w:type="spellStart"/>
      <w:r>
        <w:rPr>
          <w:i/>
          <w:iCs/>
          <w:color w:val="auto"/>
          <w:sz w:val="22"/>
          <w:szCs w:val="22"/>
        </w:rPr>
        <w:t>teams</w:t>
      </w:r>
      <w:proofErr w:type="spellEnd"/>
      <w:r>
        <w:rPr>
          <w:color w:val="auto"/>
          <w:sz w:val="22"/>
          <w:szCs w:val="22"/>
        </w:rPr>
        <w:t xml:space="preserve">, auditorias de </w:t>
      </w:r>
      <w:proofErr w:type="spellStart"/>
      <w:r>
        <w:rPr>
          <w:i/>
          <w:iCs/>
          <w:color w:val="auto"/>
          <w:sz w:val="22"/>
          <w:szCs w:val="22"/>
        </w:rPr>
        <w:t>due</w:t>
      </w:r>
      <w:proofErr w:type="spellEnd"/>
      <w:r>
        <w:rPr>
          <w:i/>
          <w:iCs/>
          <w:color w:val="auto"/>
          <w:sz w:val="22"/>
          <w:szCs w:val="22"/>
        </w:rPr>
        <w:t xml:space="preserve"> </w:t>
      </w:r>
      <w:proofErr w:type="spellStart"/>
      <w:r>
        <w:rPr>
          <w:i/>
          <w:iCs/>
          <w:color w:val="auto"/>
          <w:sz w:val="22"/>
          <w:szCs w:val="22"/>
        </w:rPr>
        <w:t>diligence</w:t>
      </w:r>
      <w:proofErr w:type="spellEnd"/>
      <w:r>
        <w:rPr>
          <w:color w:val="auto"/>
          <w:sz w:val="22"/>
          <w:szCs w:val="22"/>
        </w:rPr>
        <w:t xml:space="preserve"> ou outros formatos;</w:t>
      </w:r>
    </w:p>
    <w:p w14:paraId="16D83754" w14:textId="77777777" w:rsidR="004D3EA3" w:rsidRDefault="004D3EA3">
      <w:pPr>
        <w:pStyle w:val="Default"/>
        <w:numPr>
          <w:ilvl w:val="0"/>
          <w:numId w:val="7"/>
        </w:numPr>
        <w:tabs>
          <w:tab w:val="left" w:pos="993"/>
        </w:tabs>
        <w:spacing w:line="360" w:lineRule="auto"/>
        <w:ind w:left="1418" w:hanging="709"/>
        <w:jc w:val="both"/>
        <w:rPr>
          <w:b/>
          <w:bCs/>
          <w:color w:val="auto"/>
          <w:sz w:val="22"/>
          <w:szCs w:val="22"/>
        </w:rPr>
      </w:pPr>
      <w:r>
        <w:rPr>
          <w:color w:val="auto"/>
          <w:sz w:val="22"/>
          <w:szCs w:val="22"/>
        </w:rPr>
        <w:t xml:space="preserve">        Integrar prematuramente as atividades das partes envolvidas na concentração, ou celebrar cláusulas nesse sentido, como, dentre outras, cláusulas de não concorrência prévia, que permitam a ingerência de uma parte sobre aspectos estratégicos dos negócios da outra, ou, de modo geral, que prevejam que não possam ser revertidas em um momento posterior, ou cuja reversão implique em dispêndio de uma quantidade significativa de recursos por parte dos agentes envolvidos ou da autoridade; e</w:t>
      </w:r>
    </w:p>
    <w:p w14:paraId="7FCF5F23" w14:textId="77777777" w:rsidR="004D3EA3" w:rsidRDefault="004D3EA3">
      <w:pPr>
        <w:pStyle w:val="Default"/>
        <w:numPr>
          <w:ilvl w:val="0"/>
          <w:numId w:val="7"/>
        </w:numPr>
        <w:tabs>
          <w:tab w:val="left" w:pos="993"/>
        </w:tabs>
        <w:spacing w:line="360" w:lineRule="auto"/>
        <w:ind w:left="1418" w:hanging="709"/>
        <w:jc w:val="both"/>
        <w:rPr>
          <w:b/>
          <w:bCs/>
          <w:color w:val="auto"/>
          <w:sz w:val="22"/>
          <w:szCs w:val="22"/>
        </w:rPr>
      </w:pPr>
      <w:r>
        <w:rPr>
          <w:color w:val="auto"/>
          <w:sz w:val="22"/>
          <w:szCs w:val="22"/>
        </w:rPr>
        <w:t>Realizar atividades que impliquem na consumação, ainda que parcial, da operação, como, em caráter exemplificativo, a transferência de ativos em geral, realização de pagamentos, integração de equipes, serviços ou produtos, exercício do direito de voto ou influência relevante sobre os negócios da outra parte e a interrupção de investimentos.</w:t>
      </w:r>
    </w:p>
    <w:p w14:paraId="5181C8CF" w14:textId="77777777" w:rsidR="004D3EA3" w:rsidRDefault="004D3EA3" w:rsidP="004D3EA3">
      <w:pPr>
        <w:pStyle w:val="Default"/>
        <w:tabs>
          <w:tab w:val="left" w:pos="993"/>
        </w:tabs>
        <w:spacing w:line="360" w:lineRule="auto"/>
        <w:jc w:val="both"/>
        <w:rPr>
          <w:color w:val="auto"/>
          <w:sz w:val="22"/>
          <w:szCs w:val="22"/>
        </w:rPr>
      </w:pPr>
    </w:p>
    <w:p w14:paraId="7B019A37" w14:textId="77777777" w:rsidR="004D3EA3" w:rsidRDefault="004D3EA3">
      <w:pPr>
        <w:pStyle w:val="Default"/>
        <w:numPr>
          <w:ilvl w:val="2"/>
          <w:numId w:val="1"/>
        </w:numPr>
        <w:tabs>
          <w:tab w:val="left" w:pos="709"/>
        </w:tabs>
        <w:spacing w:line="360" w:lineRule="auto"/>
        <w:ind w:left="0" w:firstLine="0"/>
        <w:jc w:val="both"/>
        <w:rPr>
          <w:color w:val="auto"/>
          <w:sz w:val="22"/>
          <w:szCs w:val="22"/>
        </w:rPr>
      </w:pPr>
      <w:r>
        <w:rPr>
          <w:color w:val="auto"/>
          <w:sz w:val="22"/>
          <w:szCs w:val="22"/>
        </w:rPr>
        <w:t>A inobservância das regras acima poderá caracterizar (i) a anulação da operação societária; (</w:t>
      </w:r>
      <w:proofErr w:type="spellStart"/>
      <w:r>
        <w:rPr>
          <w:color w:val="auto"/>
          <w:sz w:val="22"/>
          <w:szCs w:val="22"/>
        </w:rPr>
        <w:t>ii</w:t>
      </w:r>
      <w:proofErr w:type="spellEnd"/>
      <w:r>
        <w:rPr>
          <w:color w:val="auto"/>
          <w:sz w:val="22"/>
          <w:szCs w:val="22"/>
        </w:rPr>
        <w:t>) na aplicação de multa entre R$ 60.000,00 (sessenta mil reais) e R$ 60.000.000,00 (sessenta milhões de reais); e (</w:t>
      </w:r>
      <w:proofErr w:type="spellStart"/>
      <w:r>
        <w:rPr>
          <w:color w:val="auto"/>
          <w:sz w:val="22"/>
          <w:szCs w:val="22"/>
        </w:rPr>
        <w:t>iii</w:t>
      </w:r>
      <w:proofErr w:type="spellEnd"/>
      <w:r>
        <w:rPr>
          <w:color w:val="auto"/>
          <w:sz w:val="22"/>
          <w:szCs w:val="22"/>
        </w:rPr>
        <w:t xml:space="preserve">) abertura de processo administrativo para apuração de conduta contra a ordem econômica. </w:t>
      </w:r>
    </w:p>
    <w:p w14:paraId="07863B33" w14:textId="77777777" w:rsidR="004D3EA3" w:rsidRDefault="004D3EA3" w:rsidP="004D3EA3">
      <w:pPr>
        <w:pStyle w:val="Default"/>
        <w:tabs>
          <w:tab w:val="left" w:pos="993"/>
        </w:tabs>
        <w:spacing w:line="360" w:lineRule="auto"/>
        <w:jc w:val="both"/>
        <w:rPr>
          <w:color w:val="auto"/>
          <w:sz w:val="22"/>
          <w:szCs w:val="22"/>
        </w:rPr>
      </w:pPr>
    </w:p>
    <w:p w14:paraId="4399D9E3" w14:textId="77777777" w:rsidR="004D3EA3" w:rsidRDefault="004D3EA3">
      <w:pPr>
        <w:pStyle w:val="Default"/>
        <w:numPr>
          <w:ilvl w:val="2"/>
          <w:numId w:val="1"/>
        </w:numPr>
        <w:tabs>
          <w:tab w:val="left" w:pos="709"/>
          <w:tab w:val="left" w:pos="993"/>
        </w:tabs>
        <w:spacing w:line="360" w:lineRule="auto"/>
        <w:ind w:left="0" w:firstLine="0"/>
        <w:jc w:val="both"/>
        <w:rPr>
          <w:color w:val="auto"/>
          <w:sz w:val="22"/>
          <w:szCs w:val="22"/>
        </w:rPr>
      </w:pPr>
      <w:r>
        <w:rPr>
          <w:color w:val="auto"/>
          <w:sz w:val="22"/>
          <w:szCs w:val="22"/>
        </w:rPr>
        <w:lastRenderedPageBreak/>
        <w:t xml:space="preserve">O Compliance deve obrigatoriamente ser consultado previamente sobre qualquer operação que eventualmente possa caracterizar um Ato de Concentração. </w:t>
      </w:r>
    </w:p>
    <w:p w14:paraId="0048A273" w14:textId="77777777" w:rsidR="004D3EA3" w:rsidRDefault="004D3EA3" w:rsidP="004D3EA3">
      <w:pPr>
        <w:pStyle w:val="Default"/>
        <w:tabs>
          <w:tab w:val="left" w:pos="993"/>
        </w:tabs>
        <w:spacing w:line="360" w:lineRule="auto"/>
        <w:jc w:val="both"/>
        <w:rPr>
          <w:color w:val="auto"/>
          <w:sz w:val="22"/>
          <w:szCs w:val="22"/>
        </w:rPr>
      </w:pPr>
    </w:p>
    <w:p w14:paraId="7D8CC61A" w14:textId="77777777" w:rsidR="004D3EA3" w:rsidRDefault="004D3EA3">
      <w:pPr>
        <w:pStyle w:val="Default"/>
        <w:numPr>
          <w:ilvl w:val="0"/>
          <w:numId w:val="1"/>
        </w:numPr>
        <w:tabs>
          <w:tab w:val="left" w:pos="993"/>
        </w:tabs>
        <w:spacing w:line="360" w:lineRule="auto"/>
        <w:ind w:hanging="720"/>
        <w:jc w:val="both"/>
        <w:rPr>
          <w:b/>
          <w:bCs/>
          <w:color w:val="auto"/>
          <w:sz w:val="22"/>
          <w:szCs w:val="22"/>
        </w:rPr>
      </w:pPr>
      <w:r>
        <w:rPr>
          <w:b/>
          <w:bCs/>
          <w:color w:val="auto"/>
          <w:sz w:val="22"/>
          <w:szCs w:val="22"/>
        </w:rPr>
        <w:t>LEI DO GÁS E DECRETO DO GÁS</w:t>
      </w:r>
    </w:p>
    <w:p w14:paraId="1C98D9B9" w14:textId="77777777" w:rsidR="004D3EA3" w:rsidRDefault="004D3EA3" w:rsidP="004D3EA3">
      <w:pPr>
        <w:tabs>
          <w:tab w:val="left" w:pos="0"/>
          <w:tab w:val="left" w:pos="709"/>
        </w:tabs>
        <w:spacing w:line="360" w:lineRule="auto"/>
        <w:rPr>
          <w:rFonts w:ascii="Arial" w:hAnsi="Arial" w:cs="Arial"/>
          <w:b/>
        </w:rPr>
      </w:pPr>
    </w:p>
    <w:p w14:paraId="2EE53CE4" w14:textId="772AA025"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Em cumprimento à Lei do Gás e Decreto do Gás, é vedado à Necta eleger Administradores que também sejam Administradores de empresas que exerçam atividades de exploração, desenvolvimento, produção, importação, carregamento e comercialização de gás natural.</w:t>
      </w:r>
      <w:r>
        <w:rPr>
          <w:color w:val="auto"/>
          <w:sz w:val="22"/>
          <w:szCs w:val="22"/>
          <w:highlight w:val="yellow"/>
        </w:rPr>
        <w:t xml:space="preserve"> </w:t>
      </w:r>
    </w:p>
    <w:p w14:paraId="2B5DB086" w14:textId="77777777" w:rsidR="004D3EA3" w:rsidRDefault="004D3EA3" w:rsidP="004D3EA3">
      <w:pPr>
        <w:spacing w:line="360" w:lineRule="auto"/>
        <w:rPr>
          <w:rFonts w:ascii="Arial" w:hAnsi="Arial" w:cs="Arial"/>
        </w:rPr>
      </w:pPr>
    </w:p>
    <w:p w14:paraId="4449D946" w14:textId="24C081A7"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Caso um Administrador que exerça função de Diretor ou membro do Conselho de Administração da Necta e tenha sido indicado por acionista que detiver controle em empresa(s) que atue(m) nas atividades de exploração, desenvolvimento, produção, importação, carregamento e comercialização de gás natural, tenha acesso a eventuais Informações Concorrenciais Sensíveis das respectivas empresas, deverão utilizar tais informações exclusivamente para o desempenho de suas funções, sendo completamente vedada a divulgação de quaisquer Informações Concorrenciais Sensíveis e/ou informação que ainda não tenha sido divulgada ao mercado pelas empresas, ainda que dentro do grupo econômico da Necta, devendo ditos Administradores cumprir todos os deveres e responsabilidades inerentes à função de Administrador, conforme estipulado na Lei das Sociedades por Ações.</w:t>
      </w:r>
    </w:p>
    <w:p w14:paraId="60212F0A" w14:textId="77777777" w:rsidR="004D3EA3" w:rsidRDefault="004D3EA3" w:rsidP="004D3EA3">
      <w:pPr>
        <w:pStyle w:val="Default"/>
        <w:tabs>
          <w:tab w:val="left" w:pos="709"/>
        </w:tabs>
        <w:spacing w:line="360" w:lineRule="auto"/>
        <w:jc w:val="both"/>
        <w:rPr>
          <w:color w:val="auto"/>
          <w:sz w:val="22"/>
          <w:szCs w:val="22"/>
        </w:rPr>
      </w:pPr>
    </w:p>
    <w:p w14:paraId="74167FF3" w14:textId="4EFE077C"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É vedada qualquer prática entre a Necta e as demais empresas do grupo econômico que exerçam atividades de exploração, desenvolvimento, produção, importação, carregamento e comercialização de gás natural que possam, de qualquer modo, (i) influenciar, direta ou indiretamente, a gestão comercial e as decisões de investimento das distribuidoras; (</w:t>
      </w:r>
      <w:proofErr w:type="spellStart"/>
      <w:r>
        <w:rPr>
          <w:color w:val="auto"/>
          <w:sz w:val="22"/>
          <w:szCs w:val="22"/>
        </w:rPr>
        <w:t>ii</w:t>
      </w:r>
      <w:proofErr w:type="spellEnd"/>
      <w:r>
        <w:rPr>
          <w:color w:val="auto"/>
          <w:sz w:val="22"/>
          <w:szCs w:val="22"/>
        </w:rPr>
        <w:t>) gerar vantagem competitiva em relação aos concorrentes; e (</w:t>
      </w:r>
      <w:proofErr w:type="spellStart"/>
      <w:r>
        <w:rPr>
          <w:color w:val="auto"/>
          <w:sz w:val="22"/>
          <w:szCs w:val="22"/>
        </w:rPr>
        <w:t>iii</w:t>
      </w:r>
      <w:proofErr w:type="spellEnd"/>
      <w:r>
        <w:rPr>
          <w:color w:val="auto"/>
          <w:sz w:val="22"/>
          <w:szCs w:val="22"/>
        </w:rPr>
        <w:t>) conceder acesso a informações concorrencialmente sensíveis detidas pelas distribuidoras.</w:t>
      </w:r>
    </w:p>
    <w:p w14:paraId="1E378E02" w14:textId="77777777" w:rsidR="004D3EA3" w:rsidRDefault="004D3EA3" w:rsidP="004D3EA3">
      <w:pPr>
        <w:pStyle w:val="Texto-MattosFilho"/>
        <w:spacing w:line="360" w:lineRule="auto"/>
        <w:rPr>
          <w:rFonts w:ascii="Arial" w:hAnsi="Arial" w:cs="Arial"/>
          <w:szCs w:val="22"/>
        </w:rPr>
      </w:pPr>
    </w:p>
    <w:p w14:paraId="544F9899" w14:textId="1D6D4882" w:rsidR="004D3EA3" w:rsidRDefault="004D3EA3">
      <w:pPr>
        <w:pStyle w:val="Texto-MattosFilho"/>
        <w:keepNext/>
        <w:numPr>
          <w:ilvl w:val="0"/>
          <w:numId w:val="1"/>
        </w:numPr>
        <w:tabs>
          <w:tab w:val="left" w:pos="709"/>
        </w:tabs>
        <w:spacing w:line="360" w:lineRule="auto"/>
        <w:ind w:left="0" w:firstLine="0"/>
        <w:rPr>
          <w:rFonts w:ascii="Arial" w:hAnsi="Arial" w:cs="Arial"/>
          <w:b/>
          <w:szCs w:val="22"/>
        </w:rPr>
      </w:pPr>
      <w:r>
        <w:rPr>
          <w:rFonts w:ascii="Arial" w:hAnsi="Arial" w:cs="Arial"/>
          <w:b/>
          <w:szCs w:val="22"/>
        </w:rPr>
        <w:t xml:space="preserve">REPORTE </w:t>
      </w:r>
    </w:p>
    <w:p w14:paraId="0C9E166D" w14:textId="77777777" w:rsidR="004D3EA3" w:rsidRDefault="004D3EA3" w:rsidP="004D3EA3">
      <w:pPr>
        <w:pStyle w:val="Texto-MattosFilho"/>
        <w:keepNext/>
        <w:tabs>
          <w:tab w:val="left" w:pos="993"/>
        </w:tabs>
        <w:spacing w:line="360" w:lineRule="auto"/>
        <w:ind w:left="567"/>
        <w:rPr>
          <w:rFonts w:ascii="Arial" w:hAnsi="Arial" w:cs="Arial"/>
          <w:szCs w:val="22"/>
        </w:rPr>
      </w:pPr>
    </w:p>
    <w:p w14:paraId="27CF1C34" w14:textId="3FF01464" w:rsidR="004D3EA3" w:rsidRDefault="004D3EA3">
      <w:pPr>
        <w:pStyle w:val="Default"/>
        <w:keepNext/>
        <w:numPr>
          <w:ilvl w:val="1"/>
          <w:numId w:val="1"/>
        </w:numPr>
        <w:tabs>
          <w:tab w:val="left" w:pos="709"/>
        </w:tabs>
        <w:spacing w:line="360" w:lineRule="auto"/>
        <w:ind w:left="0" w:firstLine="0"/>
        <w:jc w:val="both"/>
        <w:rPr>
          <w:color w:val="auto"/>
          <w:sz w:val="22"/>
          <w:szCs w:val="22"/>
        </w:rPr>
      </w:pPr>
      <w:r>
        <w:rPr>
          <w:color w:val="auto"/>
          <w:sz w:val="22"/>
          <w:szCs w:val="22"/>
        </w:rPr>
        <w:t>Constitui responsabilidade de todos os Colaboradores e Terceiros garantir o cumprimento desta Política. Indícios de descumprimento acerca do cumprimento desta Política ou do Código de Conduta poderão ser reportados ao gestor imediato do Colaborador, à área de Pessoas e Cultura, à Auditoria Interna Corporativa</w:t>
      </w:r>
      <w:bookmarkStart w:id="0" w:name="_Hlk109665660"/>
      <w:r>
        <w:rPr>
          <w:sz w:val="22"/>
          <w:szCs w:val="22"/>
          <w:shd w:val="clear" w:color="auto" w:fill="FFFFFF"/>
          <w:vertAlign w:val="superscript"/>
        </w:rPr>
        <w:footnoteReference w:id="2"/>
      </w:r>
      <w:bookmarkEnd w:id="0"/>
      <w:r>
        <w:rPr>
          <w:color w:val="auto"/>
          <w:sz w:val="22"/>
          <w:szCs w:val="22"/>
        </w:rPr>
        <w:t>, ao Compliance ou por meio de um dos Canais de Comunicação disponíveis (</w:t>
      </w:r>
      <w:r w:rsidR="00BD0382" w:rsidRPr="00BD0382">
        <w:rPr>
          <w:color w:val="auto"/>
          <w:sz w:val="22"/>
          <w:szCs w:val="22"/>
        </w:rPr>
        <w:t>0800 000 5274ou www.canaldeetica.com.br/</w:t>
      </w:r>
      <w:proofErr w:type="spellStart"/>
      <w:r w:rsidR="00BD0382" w:rsidRPr="00BD0382">
        <w:rPr>
          <w:color w:val="auto"/>
          <w:sz w:val="22"/>
          <w:szCs w:val="22"/>
        </w:rPr>
        <w:t>grupocompass</w:t>
      </w:r>
      <w:proofErr w:type="spellEnd"/>
      <w:r>
        <w:rPr>
          <w:color w:val="auto"/>
          <w:sz w:val="22"/>
          <w:szCs w:val="22"/>
        </w:rPr>
        <w:t xml:space="preserve">), para apuração </w:t>
      </w:r>
      <w:r>
        <w:rPr>
          <w:sz w:val="22"/>
          <w:szCs w:val="22"/>
          <w:shd w:val="clear" w:color="auto" w:fill="FFFFFF"/>
        </w:rPr>
        <w:t>conforme Política de Gestão de Denúncias da Com</w:t>
      </w:r>
      <w:r w:rsidR="00B67866">
        <w:rPr>
          <w:color w:val="auto"/>
          <w:sz w:val="22"/>
          <w:szCs w:val="22"/>
        </w:rPr>
        <w:t>pass.</w:t>
      </w:r>
    </w:p>
    <w:p w14:paraId="4F79D11B" w14:textId="77777777" w:rsidR="004D3EA3" w:rsidRDefault="004D3EA3" w:rsidP="004D3EA3">
      <w:pPr>
        <w:pStyle w:val="Default"/>
        <w:tabs>
          <w:tab w:val="left" w:pos="709"/>
        </w:tabs>
        <w:spacing w:line="360" w:lineRule="auto"/>
        <w:jc w:val="both"/>
        <w:rPr>
          <w:color w:val="auto"/>
          <w:sz w:val="22"/>
          <w:szCs w:val="22"/>
        </w:rPr>
      </w:pPr>
    </w:p>
    <w:p w14:paraId="0F57C6F6" w14:textId="78F16A15" w:rsidR="004D3EA3" w:rsidRDefault="004D3EA3">
      <w:pPr>
        <w:pStyle w:val="Default"/>
        <w:numPr>
          <w:ilvl w:val="1"/>
          <w:numId w:val="1"/>
        </w:numPr>
        <w:tabs>
          <w:tab w:val="left" w:pos="709"/>
        </w:tabs>
        <w:spacing w:line="360" w:lineRule="auto"/>
        <w:ind w:left="0" w:firstLine="0"/>
        <w:jc w:val="both"/>
        <w:rPr>
          <w:color w:val="auto"/>
          <w:sz w:val="22"/>
          <w:szCs w:val="22"/>
        </w:rPr>
      </w:pPr>
      <w:r>
        <w:rPr>
          <w:color w:val="auto"/>
          <w:sz w:val="22"/>
          <w:szCs w:val="22"/>
        </w:rPr>
        <w:t>A Necta não tolera qualquer retaliação contra pessoa, interna ou externa, que comunique de boa-fé uma violação ou suspeita de violação a esta Política ou ao seu Código de Conduta, sendo garantida a sua confidencialidade acerca da identidade de qualquer pessoa que comunicar eventual violação. A prática de retaliação está sujeita a medidas disciplinares que podem resultar, inclusive, no desligamento do Colaborador da Necta ou encerramento de um contrato, conforme o caso.</w:t>
      </w:r>
    </w:p>
    <w:p w14:paraId="35789027" w14:textId="77777777" w:rsidR="004D3EA3" w:rsidRDefault="004D3EA3" w:rsidP="004D3EA3">
      <w:pPr>
        <w:pStyle w:val="Texto-MattosFilho"/>
        <w:spacing w:line="360" w:lineRule="auto"/>
        <w:rPr>
          <w:rFonts w:ascii="Arial" w:hAnsi="Arial" w:cs="Arial"/>
          <w:szCs w:val="22"/>
        </w:rPr>
      </w:pPr>
    </w:p>
    <w:p w14:paraId="6D3EF844" w14:textId="77777777" w:rsidR="004D3EA3" w:rsidRDefault="004D3EA3">
      <w:pPr>
        <w:pStyle w:val="Default"/>
        <w:numPr>
          <w:ilvl w:val="0"/>
          <w:numId w:val="1"/>
        </w:numPr>
        <w:tabs>
          <w:tab w:val="left" w:pos="709"/>
        </w:tabs>
        <w:spacing w:line="360" w:lineRule="auto"/>
        <w:ind w:left="0" w:firstLine="0"/>
        <w:jc w:val="both"/>
        <w:rPr>
          <w:b/>
          <w:color w:val="auto"/>
          <w:sz w:val="22"/>
          <w:szCs w:val="22"/>
        </w:rPr>
      </w:pPr>
      <w:r>
        <w:rPr>
          <w:b/>
          <w:color w:val="auto"/>
          <w:sz w:val="22"/>
          <w:szCs w:val="22"/>
        </w:rPr>
        <w:t>REFERÊNCIAS</w:t>
      </w:r>
    </w:p>
    <w:p w14:paraId="23C72936" w14:textId="77777777" w:rsidR="004D3EA3" w:rsidRDefault="004D3EA3" w:rsidP="004D3EA3">
      <w:pPr>
        <w:pStyle w:val="Default"/>
        <w:spacing w:line="360" w:lineRule="auto"/>
        <w:jc w:val="both"/>
        <w:rPr>
          <w:b/>
          <w:color w:val="auto"/>
          <w:sz w:val="22"/>
          <w:szCs w:val="22"/>
          <w:highlight w:val="yellow"/>
        </w:rPr>
      </w:pPr>
    </w:p>
    <w:p w14:paraId="2A84D4A9" w14:textId="1859F5F7" w:rsidR="004D3EA3" w:rsidRDefault="004D3EA3">
      <w:pPr>
        <w:pStyle w:val="Default"/>
        <w:numPr>
          <w:ilvl w:val="0"/>
          <w:numId w:val="8"/>
        </w:numPr>
        <w:spacing w:line="360" w:lineRule="auto"/>
        <w:ind w:left="709"/>
        <w:jc w:val="both"/>
        <w:rPr>
          <w:color w:val="auto"/>
          <w:sz w:val="22"/>
          <w:szCs w:val="22"/>
        </w:rPr>
      </w:pPr>
      <w:r>
        <w:rPr>
          <w:color w:val="auto"/>
          <w:sz w:val="22"/>
          <w:szCs w:val="22"/>
        </w:rPr>
        <w:t>Código de Conduta da Necta;</w:t>
      </w:r>
    </w:p>
    <w:p w14:paraId="44DF1B48" w14:textId="77777777" w:rsidR="004D3EA3" w:rsidRDefault="004D3EA3">
      <w:pPr>
        <w:pStyle w:val="Default"/>
        <w:numPr>
          <w:ilvl w:val="0"/>
          <w:numId w:val="8"/>
        </w:numPr>
        <w:spacing w:line="360" w:lineRule="auto"/>
        <w:ind w:left="709"/>
        <w:jc w:val="both"/>
        <w:rPr>
          <w:color w:val="auto"/>
          <w:sz w:val="22"/>
          <w:szCs w:val="22"/>
        </w:rPr>
      </w:pPr>
      <w:r>
        <w:rPr>
          <w:color w:val="auto"/>
          <w:sz w:val="22"/>
          <w:szCs w:val="22"/>
        </w:rPr>
        <w:t>Decreto nº 10.712/2021, de 02 de junho de 2021, com alterações posteriores (“</w:t>
      </w:r>
      <w:r>
        <w:rPr>
          <w:color w:val="auto"/>
          <w:sz w:val="22"/>
          <w:szCs w:val="22"/>
          <w:u w:val="single"/>
        </w:rPr>
        <w:t>Decreto do Gás</w:t>
      </w:r>
      <w:r>
        <w:rPr>
          <w:color w:val="auto"/>
          <w:sz w:val="22"/>
          <w:szCs w:val="22"/>
        </w:rPr>
        <w:t>”);</w:t>
      </w:r>
    </w:p>
    <w:p w14:paraId="3E26625D" w14:textId="3185B2C8" w:rsidR="004D3EA3" w:rsidRDefault="004D3EA3">
      <w:pPr>
        <w:pStyle w:val="Default"/>
        <w:numPr>
          <w:ilvl w:val="0"/>
          <w:numId w:val="8"/>
        </w:numPr>
        <w:spacing w:line="360" w:lineRule="auto"/>
        <w:ind w:left="709"/>
        <w:jc w:val="both"/>
        <w:rPr>
          <w:color w:val="auto"/>
          <w:sz w:val="22"/>
          <w:szCs w:val="22"/>
        </w:rPr>
      </w:pPr>
      <w:r>
        <w:rPr>
          <w:color w:val="auto"/>
          <w:sz w:val="22"/>
          <w:szCs w:val="22"/>
        </w:rPr>
        <w:t>Estatuto Social da Necta;</w:t>
      </w:r>
    </w:p>
    <w:p w14:paraId="61984F04" w14:textId="77777777" w:rsidR="004D3EA3" w:rsidRDefault="004D3EA3">
      <w:pPr>
        <w:pStyle w:val="Default"/>
        <w:numPr>
          <w:ilvl w:val="0"/>
          <w:numId w:val="8"/>
        </w:numPr>
        <w:spacing w:line="360" w:lineRule="auto"/>
        <w:ind w:left="709"/>
        <w:jc w:val="both"/>
        <w:rPr>
          <w:color w:val="auto"/>
          <w:sz w:val="22"/>
          <w:szCs w:val="22"/>
        </w:rPr>
      </w:pPr>
      <w:r>
        <w:rPr>
          <w:color w:val="auto"/>
          <w:sz w:val="22"/>
          <w:szCs w:val="22"/>
        </w:rPr>
        <w:t>Lei nº 12.529, de 30 de novembro de 2011 (“</w:t>
      </w:r>
      <w:r>
        <w:rPr>
          <w:color w:val="auto"/>
          <w:sz w:val="22"/>
          <w:szCs w:val="22"/>
          <w:u w:val="single"/>
        </w:rPr>
        <w:t>Lei de Defesa da Concorrência</w:t>
      </w:r>
      <w:r>
        <w:rPr>
          <w:color w:val="auto"/>
          <w:sz w:val="22"/>
          <w:szCs w:val="22"/>
        </w:rPr>
        <w:t>”);</w:t>
      </w:r>
    </w:p>
    <w:p w14:paraId="2B1C465D" w14:textId="77777777" w:rsidR="004D3EA3" w:rsidRDefault="004D3EA3">
      <w:pPr>
        <w:pStyle w:val="Default"/>
        <w:numPr>
          <w:ilvl w:val="0"/>
          <w:numId w:val="8"/>
        </w:numPr>
        <w:spacing w:line="360" w:lineRule="auto"/>
        <w:ind w:left="709"/>
        <w:jc w:val="both"/>
        <w:rPr>
          <w:color w:val="auto"/>
          <w:sz w:val="22"/>
          <w:szCs w:val="22"/>
        </w:rPr>
      </w:pPr>
      <w:r>
        <w:rPr>
          <w:color w:val="auto"/>
          <w:sz w:val="22"/>
          <w:szCs w:val="22"/>
        </w:rPr>
        <w:t>Lei nº 14.134/2021, de 08 de abril de 2021 (“</w:t>
      </w:r>
      <w:r>
        <w:rPr>
          <w:color w:val="auto"/>
          <w:sz w:val="22"/>
          <w:szCs w:val="22"/>
          <w:u w:val="single"/>
        </w:rPr>
        <w:t>Lei do Gás</w:t>
      </w:r>
      <w:r>
        <w:rPr>
          <w:color w:val="auto"/>
          <w:sz w:val="22"/>
          <w:szCs w:val="22"/>
        </w:rPr>
        <w:t xml:space="preserve">”); </w:t>
      </w:r>
    </w:p>
    <w:p w14:paraId="76C42590" w14:textId="77777777" w:rsidR="004D3EA3" w:rsidRDefault="004D3EA3">
      <w:pPr>
        <w:pStyle w:val="Default"/>
        <w:numPr>
          <w:ilvl w:val="0"/>
          <w:numId w:val="8"/>
        </w:numPr>
        <w:spacing w:line="360" w:lineRule="auto"/>
        <w:ind w:left="709"/>
        <w:jc w:val="both"/>
        <w:rPr>
          <w:color w:val="auto"/>
          <w:sz w:val="22"/>
          <w:szCs w:val="22"/>
        </w:rPr>
      </w:pPr>
      <w:r>
        <w:rPr>
          <w:color w:val="auto"/>
          <w:sz w:val="22"/>
          <w:szCs w:val="22"/>
        </w:rPr>
        <w:t>Lei nº 6.404, de 15 de dezembro de 1976 (“</w:t>
      </w:r>
      <w:r>
        <w:rPr>
          <w:color w:val="auto"/>
          <w:sz w:val="22"/>
          <w:szCs w:val="22"/>
          <w:u w:val="single"/>
        </w:rPr>
        <w:t>Lei das Sociedades por Ações</w:t>
      </w:r>
      <w:r>
        <w:rPr>
          <w:color w:val="auto"/>
          <w:sz w:val="22"/>
          <w:szCs w:val="22"/>
        </w:rPr>
        <w:t>”); e</w:t>
      </w:r>
    </w:p>
    <w:p w14:paraId="5DE205F6" w14:textId="77777777" w:rsidR="004D3EA3" w:rsidRDefault="004D3EA3">
      <w:pPr>
        <w:pStyle w:val="Default"/>
        <w:numPr>
          <w:ilvl w:val="0"/>
          <w:numId w:val="8"/>
        </w:numPr>
        <w:spacing w:line="360" w:lineRule="auto"/>
        <w:ind w:left="709"/>
        <w:jc w:val="both"/>
        <w:rPr>
          <w:color w:val="auto"/>
          <w:sz w:val="22"/>
          <w:szCs w:val="22"/>
        </w:rPr>
      </w:pPr>
      <w:r>
        <w:rPr>
          <w:color w:val="auto"/>
          <w:sz w:val="22"/>
          <w:szCs w:val="22"/>
        </w:rPr>
        <w:lastRenderedPageBreak/>
        <w:t>Lei nº 8.137, de 27 de dezembro de 1990 (“</w:t>
      </w:r>
      <w:r>
        <w:rPr>
          <w:color w:val="auto"/>
          <w:sz w:val="22"/>
          <w:szCs w:val="22"/>
          <w:u w:val="single"/>
        </w:rPr>
        <w:t>Lei dos Crimes contra a Ordem Econômica</w:t>
      </w:r>
      <w:r>
        <w:rPr>
          <w:color w:val="auto"/>
          <w:sz w:val="22"/>
          <w:szCs w:val="22"/>
        </w:rPr>
        <w:t>”).</w:t>
      </w:r>
    </w:p>
    <w:p w14:paraId="430BA9ED" w14:textId="77777777" w:rsidR="004D3EA3" w:rsidRDefault="004D3EA3" w:rsidP="004D3EA3">
      <w:pPr>
        <w:pStyle w:val="Default"/>
        <w:spacing w:line="360" w:lineRule="auto"/>
        <w:ind w:left="-11"/>
        <w:jc w:val="both"/>
        <w:rPr>
          <w:color w:val="auto"/>
          <w:sz w:val="22"/>
          <w:szCs w:val="22"/>
        </w:rPr>
      </w:pPr>
    </w:p>
    <w:p w14:paraId="3182B0BB" w14:textId="77777777" w:rsidR="004D3EA3" w:rsidRDefault="004D3EA3">
      <w:pPr>
        <w:pStyle w:val="Default"/>
        <w:numPr>
          <w:ilvl w:val="0"/>
          <w:numId w:val="1"/>
        </w:numPr>
        <w:spacing w:line="360" w:lineRule="auto"/>
        <w:ind w:hanging="720"/>
        <w:jc w:val="both"/>
        <w:rPr>
          <w:color w:val="auto"/>
          <w:sz w:val="22"/>
          <w:szCs w:val="22"/>
        </w:rPr>
      </w:pPr>
      <w:r>
        <w:rPr>
          <w:b/>
          <w:color w:val="auto"/>
          <w:sz w:val="22"/>
          <w:szCs w:val="22"/>
        </w:rPr>
        <w:t>DISPOSIÇÕES GERAIS</w:t>
      </w:r>
    </w:p>
    <w:p w14:paraId="7DC2C248" w14:textId="77777777" w:rsidR="004D3EA3" w:rsidRDefault="004D3EA3" w:rsidP="004D3EA3">
      <w:pPr>
        <w:pStyle w:val="Texto-MattosFilho"/>
        <w:spacing w:line="360" w:lineRule="auto"/>
        <w:rPr>
          <w:rFonts w:ascii="Arial" w:hAnsi="Arial" w:cs="Arial"/>
          <w:szCs w:val="22"/>
        </w:rPr>
      </w:pPr>
    </w:p>
    <w:p w14:paraId="33A447E2" w14:textId="34C1F969" w:rsidR="004D3EA3" w:rsidRDefault="004D3EA3">
      <w:pPr>
        <w:pStyle w:val="Texto-MattosFilho"/>
        <w:numPr>
          <w:ilvl w:val="1"/>
          <w:numId w:val="1"/>
        </w:numPr>
        <w:tabs>
          <w:tab w:val="left" w:pos="709"/>
        </w:tabs>
        <w:spacing w:line="360" w:lineRule="auto"/>
        <w:ind w:left="0" w:firstLine="0"/>
        <w:rPr>
          <w:rFonts w:ascii="Arial" w:hAnsi="Arial" w:cs="Arial"/>
          <w:szCs w:val="22"/>
          <w:shd w:val="clear" w:color="auto" w:fill="FFFFFF"/>
          <w:lang w:eastAsia="en-US"/>
        </w:rPr>
      </w:pPr>
      <w:r>
        <w:rPr>
          <w:rFonts w:ascii="Arial" w:hAnsi="Arial" w:cs="Arial"/>
          <w:szCs w:val="22"/>
          <w:shd w:val="clear" w:color="auto" w:fill="FFFFFF"/>
          <w:lang w:eastAsia="en-US"/>
        </w:rPr>
        <w:t>Compete exclusivamente ao Conselho de Administração da Necta aprovar qualquer alteração à presente Política, que acontecerá quando do advento de mudanças de processo e/ou alteração de tecnologia (sistemas aplicativos), mudanças de diretrizes ou legislação vigente ou ainda por determinação do Conselho de Administração.</w:t>
      </w:r>
    </w:p>
    <w:p w14:paraId="4066692A" w14:textId="77777777" w:rsidR="004D3EA3" w:rsidRDefault="004D3EA3" w:rsidP="004D3EA3">
      <w:pPr>
        <w:pStyle w:val="Texto-MattosFilho"/>
        <w:tabs>
          <w:tab w:val="left" w:pos="709"/>
        </w:tabs>
        <w:spacing w:line="360" w:lineRule="auto"/>
        <w:rPr>
          <w:rFonts w:ascii="Arial" w:hAnsi="Arial" w:cs="Arial"/>
          <w:szCs w:val="22"/>
          <w:shd w:val="clear" w:color="auto" w:fill="FFFFFF"/>
          <w:lang w:eastAsia="en-US"/>
        </w:rPr>
      </w:pPr>
    </w:p>
    <w:p w14:paraId="33DD55B6" w14:textId="77777777" w:rsidR="004D3EA3" w:rsidRDefault="004D3EA3">
      <w:pPr>
        <w:pStyle w:val="Texto-MattosFilho"/>
        <w:numPr>
          <w:ilvl w:val="1"/>
          <w:numId w:val="1"/>
        </w:numPr>
        <w:tabs>
          <w:tab w:val="left" w:pos="709"/>
        </w:tabs>
        <w:spacing w:line="360" w:lineRule="auto"/>
        <w:ind w:left="0" w:firstLine="0"/>
        <w:rPr>
          <w:rFonts w:ascii="Arial" w:hAnsi="Arial" w:cs="Arial"/>
          <w:szCs w:val="22"/>
          <w:shd w:val="clear" w:color="auto" w:fill="FFFFFF"/>
          <w:lang w:eastAsia="en-US"/>
        </w:rPr>
      </w:pPr>
      <w:bookmarkStart w:id="1" w:name="_Hlk110016691"/>
      <w:r>
        <w:rPr>
          <w:rFonts w:ascii="Arial" w:hAnsi="Arial" w:cs="Arial"/>
          <w:szCs w:val="22"/>
          <w:shd w:val="clear" w:color="auto" w:fill="FFFFFF"/>
          <w:lang w:eastAsia="en-US"/>
        </w:rPr>
        <w:t>Esta Política será arquivada durante o prazo de sua vigência, sendo descartada somente no caso de suas versões subsequentes estarem em uso (divulgadas) por no mínimo 05 (cinco) anos.</w:t>
      </w:r>
    </w:p>
    <w:bookmarkEnd w:id="1"/>
    <w:p w14:paraId="4D2DFEB5" w14:textId="77777777" w:rsidR="004D3EA3" w:rsidRDefault="004D3EA3" w:rsidP="004D3EA3">
      <w:pPr>
        <w:pStyle w:val="Texto-MattosFilho"/>
        <w:tabs>
          <w:tab w:val="left" w:pos="709"/>
        </w:tabs>
        <w:spacing w:line="360" w:lineRule="auto"/>
        <w:rPr>
          <w:rFonts w:ascii="Arial" w:hAnsi="Arial" w:cs="Arial"/>
          <w:szCs w:val="22"/>
          <w:shd w:val="clear" w:color="auto" w:fill="FFFFFF"/>
          <w:lang w:eastAsia="en-US"/>
        </w:rPr>
      </w:pPr>
    </w:p>
    <w:p w14:paraId="78914C8D" w14:textId="77777777" w:rsidR="004D3EA3" w:rsidRDefault="004D3EA3">
      <w:pPr>
        <w:pStyle w:val="Texto-MattosFilho"/>
        <w:numPr>
          <w:ilvl w:val="1"/>
          <w:numId w:val="1"/>
        </w:numPr>
        <w:tabs>
          <w:tab w:val="left" w:pos="709"/>
        </w:tabs>
        <w:spacing w:line="360" w:lineRule="auto"/>
        <w:ind w:left="0" w:firstLine="0"/>
        <w:rPr>
          <w:rFonts w:ascii="Arial" w:hAnsi="Arial" w:cs="Arial"/>
          <w:szCs w:val="22"/>
          <w:shd w:val="clear" w:color="auto" w:fill="FFFFFF"/>
          <w:lang w:eastAsia="en-US"/>
        </w:rPr>
      </w:pPr>
      <w:r>
        <w:rPr>
          <w:rFonts w:ascii="Arial" w:hAnsi="Arial" w:cs="Arial"/>
          <w:szCs w:val="22"/>
          <w:shd w:val="clear" w:color="auto" w:fill="FFFFFF"/>
          <w:lang w:eastAsia="en-US"/>
        </w:rPr>
        <w:t>A presente Política revoga todas as disposições em contrário.</w:t>
      </w:r>
    </w:p>
    <w:p w14:paraId="7932C584" w14:textId="77777777" w:rsidR="004D3EA3" w:rsidRDefault="004D3EA3" w:rsidP="004D3EA3">
      <w:pPr>
        <w:pStyle w:val="PargrafodaLista"/>
        <w:spacing w:line="360" w:lineRule="auto"/>
        <w:rPr>
          <w:rFonts w:ascii="Arial" w:hAnsi="Arial" w:cs="Arial"/>
          <w:shd w:val="clear" w:color="auto" w:fill="FFFFFF"/>
          <w:lang w:eastAsia="pt-BR"/>
        </w:rPr>
      </w:pPr>
    </w:p>
    <w:p w14:paraId="2BD04261" w14:textId="19F9C10D" w:rsidR="004D3EA3" w:rsidRDefault="004D3EA3">
      <w:pPr>
        <w:pStyle w:val="Texto-MattosFilho"/>
        <w:numPr>
          <w:ilvl w:val="1"/>
          <w:numId w:val="1"/>
        </w:numPr>
        <w:tabs>
          <w:tab w:val="left" w:pos="709"/>
        </w:tabs>
        <w:spacing w:line="360" w:lineRule="auto"/>
        <w:ind w:left="0" w:firstLine="0"/>
        <w:rPr>
          <w:rFonts w:ascii="Arial" w:hAnsi="Arial" w:cs="Arial"/>
          <w:szCs w:val="22"/>
          <w:shd w:val="clear" w:color="auto" w:fill="FFFFFF"/>
          <w:lang w:eastAsia="en-US"/>
        </w:rPr>
      </w:pPr>
      <w:r>
        <w:rPr>
          <w:rFonts w:ascii="Arial" w:hAnsi="Arial" w:cs="Arial"/>
          <w:szCs w:val="22"/>
          <w:shd w:val="clear" w:color="auto" w:fill="FFFFFF"/>
          <w:lang w:eastAsia="en-US"/>
        </w:rPr>
        <w:t>Conforme disposto no Estatuto Social da Necta, a presente Política foi aprovada pelo Conselho de Administração.</w:t>
      </w:r>
    </w:p>
    <w:p w14:paraId="31FEDA6D" w14:textId="6581DF46" w:rsidR="00357728" w:rsidRPr="00BE3E58" w:rsidRDefault="00357728" w:rsidP="00826577">
      <w:pPr>
        <w:spacing w:after="0" w:line="360" w:lineRule="auto"/>
      </w:pPr>
    </w:p>
    <w:sectPr w:rsidR="00357728" w:rsidRPr="00BE3E58" w:rsidSect="004C1FB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134" w:left="1701"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0D7C" w14:textId="77777777" w:rsidR="00AD77C3" w:rsidRDefault="00AD77C3" w:rsidP="00EC6638">
      <w:pPr>
        <w:spacing w:after="0" w:line="240" w:lineRule="auto"/>
      </w:pPr>
      <w:r>
        <w:separator/>
      </w:r>
    </w:p>
  </w:endnote>
  <w:endnote w:type="continuationSeparator" w:id="0">
    <w:p w14:paraId="45CBFD30" w14:textId="77777777" w:rsidR="00AD77C3" w:rsidRDefault="00AD77C3" w:rsidP="00EC6638">
      <w:pPr>
        <w:spacing w:after="0" w:line="240" w:lineRule="auto"/>
      </w:pPr>
      <w:r>
        <w:continuationSeparator/>
      </w:r>
    </w:p>
  </w:endnote>
  <w:endnote w:type="continuationNotice" w:id="1">
    <w:p w14:paraId="13088F95" w14:textId="77777777" w:rsidR="00AD77C3" w:rsidRDefault="00AD7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720C" w14:textId="04D8F6F7" w:rsidR="00FE3492" w:rsidRDefault="00FE3492">
    <w:pPr>
      <w:pStyle w:val="Rodap"/>
    </w:pPr>
    <w:r>
      <w:rPr>
        <w:noProof/>
      </w:rPr>
      <mc:AlternateContent>
        <mc:Choice Requires="wps">
          <w:drawing>
            <wp:anchor distT="0" distB="0" distL="0" distR="0" simplePos="0" relativeHeight="251662336" behindDoc="0" locked="0" layoutInCell="1" allowOverlap="1" wp14:anchorId="128721B9" wp14:editId="3C235C9A">
              <wp:simplePos x="635" y="635"/>
              <wp:positionH relativeFrom="page">
                <wp:align>left</wp:align>
              </wp:positionH>
              <wp:positionV relativeFrom="page">
                <wp:align>bottom</wp:align>
              </wp:positionV>
              <wp:extent cx="632460" cy="357505"/>
              <wp:effectExtent l="0" t="0" r="15240" b="0"/>
              <wp:wrapNone/>
              <wp:docPr id="1087111276"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58D95F7F" w14:textId="26317097"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8721B9" id="_x0000_t202" coordsize="21600,21600" o:spt="202" path="m,l,21600r21600,l21600,xe">
              <v:stroke joinstyle="miter"/>
              <v:path gradientshapeok="t" o:connecttype="rect"/>
            </v:shapetype>
            <v:shape id="Caixa de Texto 5" o:spid="_x0000_s1028" type="#_x0000_t202" alt="Público" style="position:absolute;margin-left:0;margin-top:0;width:49.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ABEw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Wfj9BXUJ1zKwcC3t3zTYust8+GZOSQYp0XR&#10;hic8pIKupHC2KGnA/fibP+Yj7hilpEPBlNSgoilR3wzyMZvf5nkUWLqh4UajSsb0cz6PcXPQ94Ba&#10;nOKzsDyZMTmo0ZQO9Ctqeh27YYgZjj1LWo3mfRjki2+Ci/U6JaGWLAtbs7M8lo6YRUBf+lfm7Bn1&#10;gHQ9wigpVrwBf8iNf3q7PgSkIDET8R3QPMOOOkzcnt9MFPqv95R1fdmrnwAAAP//AwBQSwMEFAAG&#10;AAgAAAAhAH3YRcjaAAAAAwEAAA8AAABkcnMvZG93bnJldi54bWxMj81OwzAQhO9IfQdrK3GjDkVY&#10;NMSpqvIjrgQkODrxNo4ar9N424a3x3CBy0qjGc18W6wn34sTjrELpOF6kYFAaoLtqNXw/vZ0dQci&#10;siFr+kCo4QsjrMvZRWFyG870iqeKW5FKKOZGg2Mecilj49CbuAgDUvJ2YfSGkxxbaUdzTuW+l8ss&#10;U9KbjtKCMwNuHTb76ug1qIfnjRs+1Odht4wvsQ57rsKj1pfzaXMPgnHivzD84Cd0KBNTHY5ko+g1&#10;pEf49yZvtVIgag236gZkWcj/7OU3AAAA//8DAFBLAQItABQABgAIAAAAIQC2gziS/gAAAOEBAAAT&#10;AAAAAAAAAAAAAAAAAAAAAABbQ29udGVudF9UeXBlc10ueG1sUEsBAi0AFAAGAAgAAAAhADj9If/W&#10;AAAAlAEAAAsAAAAAAAAAAAAAAAAALwEAAF9yZWxzLy5yZWxzUEsBAi0AFAAGAAgAAAAhACt0gAET&#10;AgAAIQQAAA4AAAAAAAAAAAAAAAAALgIAAGRycy9lMm9Eb2MueG1sUEsBAi0AFAAGAAgAAAAhAH3Y&#10;RcjaAAAAAwEAAA8AAAAAAAAAAAAAAAAAbQQAAGRycy9kb3ducmV2LnhtbFBLBQYAAAAABAAEAPMA&#10;AAB0BQAAAAA=&#10;" filled="f" stroked="f">
              <v:textbox style="mso-fit-shape-to-text:t" inset="20pt,0,0,15pt">
                <w:txbxContent>
                  <w:p w14:paraId="58D95F7F" w14:textId="26317097"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31D" w14:textId="41775851" w:rsidR="004C1FB3" w:rsidRDefault="00FE3492">
    <w:pPr>
      <w:pStyle w:val="Rodap"/>
      <w:jc w:val="right"/>
    </w:pPr>
    <w:r>
      <w:rPr>
        <w:noProof/>
      </w:rPr>
      <mc:AlternateContent>
        <mc:Choice Requires="wps">
          <w:drawing>
            <wp:anchor distT="0" distB="0" distL="0" distR="0" simplePos="0" relativeHeight="251663360" behindDoc="0" locked="0" layoutInCell="1" allowOverlap="1" wp14:anchorId="1A83E070" wp14:editId="05BC9BF4">
              <wp:simplePos x="1076325" y="10106025"/>
              <wp:positionH relativeFrom="page">
                <wp:align>left</wp:align>
              </wp:positionH>
              <wp:positionV relativeFrom="page">
                <wp:align>bottom</wp:align>
              </wp:positionV>
              <wp:extent cx="632460" cy="357505"/>
              <wp:effectExtent l="0" t="0" r="15240" b="0"/>
              <wp:wrapNone/>
              <wp:docPr id="322289494"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348B0D8F" w14:textId="559406A2"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83E070" id="_x0000_t202" coordsize="21600,21600" o:spt="202" path="m,l,21600r21600,l21600,xe">
              <v:stroke joinstyle="miter"/>
              <v:path gradientshapeok="t" o:connecttype="rect"/>
            </v:shapetype>
            <v:shape id="Caixa de Texto 6" o:spid="_x0000_s1029" type="#_x0000_t202" alt="Público" style="position:absolute;left:0;text-align:left;margin-left:0;margin-top:0;width:49.8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JEg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Q1Nh+nr6A+4VIOBr695ZsWW2+ZD8/MIcE4LYo2&#10;POEhFXQlhbNFSQPux9/8MR9xxyglHQqmpAYVTYn6ZpCP2fw2z6PA0g0NNxpVMqaf83mMm4O+B9Ti&#10;FJ+F5cmMyUGNpnSgX1HT69gNQ8xw7FnSajTvwyBffBNcrNcpCbVkWdianeWxdMQsAvrSvzJnz6gH&#10;pOsRRkmx4g34Q27809v1ISAFiZmI74DmGXbUYeL2/Gai0H+9p6zry179BAAA//8DAFBLAwQUAAYA&#10;CAAAACEAfdhFyNoAAAADAQAADwAAAGRycy9kb3ducmV2LnhtbEyPzU7DMBCE70h9B2srcaMORVg0&#10;xKmq8iOuBCQ4OvE2jhqv03jbhrfHcIHLSqMZzXxbrCffixOOsQuk4XqRgUBqgu2o1fD+9nR1ByKy&#10;IWv6QKjhCyOsy9lFYXIbzvSKp4pbkUoo5kaDYx5yKWPj0Ju4CANS8nZh9IaTHFtpR3NO5b6XyyxT&#10;0puO0oIzA24dNvvq6DWoh+eNGz7U52G3jC+xDnuuwqPWl/Npcw+CceK/MPzgJ3QoE1MdjmSj6DWk&#10;R/j3Jm+1UiBqDbfqBmRZyP/s5TcAAAD//wMAUEsBAi0AFAAGAAgAAAAhALaDOJL+AAAA4QEAABMA&#10;AAAAAAAAAAAAAAAAAAAAAFtDb250ZW50X1R5cGVzXS54bWxQSwECLQAUAAYACAAAACEAOP0h/9YA&#10;AACUAQAACwAAAAAAAAAAAAAAAAAvAQAAX3JlbHMvLnJlbHNQSwECLQAUAAYACAAAACEA2/sBiRIC&#10;AAAhBAAADgAAAAAAAAAAAAAAAAAuAgAAZHJzL2Uyb0RvYy54bWxQSwECLQAUAAYACAAAACEAfdhF&#10;yNoAAAADAQAADwAAAAAAAAAAAAAAAABsBAAAZHJzL2Rvd25yZXYueG1sUEsFBgAAAAAEAAQA8wAA&#10;AHMFAAAAAA==&#10;" filled="f" stroked="f">
              <v:textbox style="mso-fit-shape-to-text:t" inset="20pt,0,0,15pt">
                <w:txbxContent>
                  <w:p w14:paraId="348B0D8F" w14:textId="559406A2"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v:textbox>
              <w10:wrap anchorx="page" anchory="page"/>
            </v:shape>
          </w:pict>
        </mc:Fallback>
      </mc:AlternateContent>
    </w:r>
    <w:sdt>
      <w:sdtPr>
        <w:id w:val="-1385014961"/>
        <w:docPartObj>
          <w:docPartGallery w:val="Page Numbers (Bottom of Page)"/>
          <w:docPartUnique/>
        </w:docPartObj>
      </w:sdtPr>
      <w:sdtEndPr/>
      <w:sdtContent>
        <w:r w:rsidR="004C1FB3">
          <w:fldChar w:fldCharType="begin"/>
        </w:r>
        <w:r w:rsidR="004C1FB3">
          <w:instrText>PAGE   \* MERGEFORMAT</w:instrText>
        </w:r>
        <w:r w:rsidR="004C1FB3">
          <w:fldChar w:fldCharType="separate"/>
        </w:r>
        <w:r w:rsidR="004C1FB3">
          <w:t>2</w:t>
        </w:r>
        <w:r w:rsidR="004C1FB3">
          <w:fldChar w:fldCharType="end"/>
        </w:r>
      </w:sdtContent>
    </w:sdt>
  </w:p>
  <w:p w14:paraId="321FF22D" w14:textId="77777777" w:rsidR="00EC6638" w:rsidRDefault="00EC6638" w:rsidP="00E26E74">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F39" w14:textId="16936E8D" w:rsidR="00221BA3" w:rsidRDefault="00FE3492">
    <w:pPr>
      <w:pStyle w:val="Rodap"/>
      <w:jc w:val="right"/>
    </w:pPr>
    <w:r>
      <w:rPr>
        <w:noProof/>
      </w:rPr>
      <mc:AlternateContent>
        <mc:Choice Requires="wps">
          <w:drawing>
            <wp:anchor distT="0" distB="0" distL="0" distR="0" simplePos="0" relativeHeight="251661312" behindDoc="0" locked="0" layoutInCell="1" allowOverlap="1" wp14:anchorId="3104DE08" wp14:editId="58565B1E">
              <wp:simplePos x="635" y="635"/>
              <wp:positionH relativeFrom="page">
                <wp:align>left</wp:align>
              </wp:positionH>
              <wp:positionV relativeFrom="page">
                <wp:align>bottom</wp:align>
              </wp:positionV>
              <wp:extent cx="632460" cy="357505"/>
              <wp:effectExtent l="0" t="0" r="15240" b="0"/>
              <wp:wrapNone/>
              <wp:docPr id="191997824"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5212DD69" w14:textId="38C4DD09"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04DE08" id="_x0000_t202" coordsize="21600,21600" o:spt="202" path="m,l,21600r21600,l21600,xe">
              <v:stroke joinstyle="miter"/>
              <v:path gradientshapeok="t" o:connecttype="rect"/>
            </v:shapetype>
            <v:shape id="Caixa de Texto 4" o:spid="_x0000_s1031" type="#_x0000_t202" alt="Público" style="position:absolute;left:0;text-align:left;margin-left:0;margin-top:0;width:49.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MEQ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VPf6KmgPuFSDga+veWbFltvmQ/PzCHBOC2K&#10;NjzhIRV0JYWzRUkD7sff/DEfcccoJR0KpqQGFU2J+maQj9n8Ns+jwNINDTcaVTKmn/N5jJuDvgfU&#10;4hSfheXJjMlBjaZ0oF9R0+vYDUPMcOxZ0mo078MgX3wTXKzXKQm1ZFnYmp3lsXTELAL60r8yZ8+o&#10;B6TrEUZJseIN+ENu/NPb9SEgBYmZK5pn2FGHidvzm4lC//Wesq4ve/UTAAD//wMAUEsDBBQABgAI&#10;AAAAIQB92EXI2gAAAAMBAAAPAAAAZHJzL2Rvd25yZXYueG1sTI/NTsMwEITvSH0Haytxow5FWDTE&#10;qaryI64EJDg68TaOGq/TeNuGt8dwgctKoxnNfFusJ9+LE46xC6ThepGBQGqC7ajV8P72dHUHIrIh&#10;a/pAqOELI6zL2UVhchvO9IqniluRSijmRoNjHnIpY+PQm7gIA1LydmH0hpMcW2lHc07lvpfLLFPS&#10;m47SgjMDbh02++roNaiH540bPtTnYbeML7EOe67Co9aX82lzD4Jx4r8w/OAndCgTUx2OZKPoNaRH&#10;+Pcmb7VSIGoNt+oGZFnI/+zlNwAAAP//AwBQSwECLQAUAAYACAAAACEAtoM4kv4AAADhAQAAEwAA&#10;AAAAAAAAAAAAAAAAAAAAW0NvbnRlbnRfVHlwZXNdLnhtbFBLAQItABQABgAIAAAAIQA4/SH/1gAA&#10;AJQBAAALAAAAAAAAAAAAAAAAAC8BAABfcmVscy8ucmVsc1BLAQItABQABgAIAAAAIQB51+YMEQIA&#10;ACEEAAAOAAAAAAAAAAAAAAAAAC4CAABkcnMvZTJvRG9jLnhtbFBLAQItABQABgAIAAAAIQB92EXI&#10;2gAAAAMBAAAPAAAAAAAAAAAAAAAAAGsEAABkcnMvZG93bnJldi54bWxQSwUGAAAAAAQABADzAAAA&#10;cgUAAAAA&#10;" filled="f" stroked="f">
              <v:textbox style="mso-fit-shape-to-text:t" inset="20pt,0,0,15pt">
                <w:txbxContent>
                  <w:p w14:paraId="5212DD69" w14:textId="38C4DD09"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v:textbox>
              <w10:wrap anchorx="page" anchory="page"/>
            </v:shape>
          </w:pict>
        </mc:Fallback>
      </mc:AlternateContent>
    </w:r>
  </w:p>
  <w:sdt>
    <w:sdtPr>
      <w:id w:val="195049344"/>
      <w:docPartObj>
        <w:docPartGallery w:val="Page Numbers (Bottom of Page)"/>
        <w:docPartUnique/>
      </w:docPartObj>
    </w:sdtPr>
    <w:sdtEndPr/>
    <w:sdtContent>
      <w:p w14:paraId="761B75F6" w14:textId="77777777" w:rsidR="00221BA3" w:rsidRDefault="00221BA3">
        <w:pPr>
          <w:pStyle w:val="Rodap"/>
          <w:jc w:val="right"/>
        </w:pPr>
        <w:r>
          <w:fldChar w:fldCharType="begin"/>
        </w:r>
        <w:r>
          <w:instrText>PAGE   \* MERGEFORMAT</w:instrText>
        </w:r>
        <w:r>
          <w:fldChar w:fldCharType="separate"/>
        </w:r>
        <w:r>
          <w:t>2</w:t>
        </w:r>
        <w:r>
          <w:fldChar w:fldCharType="end"/>
        </w:r>
      </w:p>
    </w:sdtContent>
  </w:sdt>
  <w:p w14:paraId="66CBA48C" w14:textId="77777777" w:rsidR="00FC735D" w:rsidRDefault="00FC735D" w:rsidP="00FC735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F032" w14:textId="77777777" w:rsidR="00AD77C3" w:rsidRDefault="00AD77C3" w:rsidP="00EC6638">
      <w:pPr>
        <w:spacing w:after="0" w:line="240" w:lineRule="auto"/>
      </w:pPr>
      <w:r>
        <w:separator/>
      </w:r>
    </w:p>
  </w:footnote>
  <w:footnote w:type="continuationSeparator" w:id="0">
    <w:p w14:paraId="51CB38B8" w14:textId="77777777" w:rsidR="00AD77C3" w:rsidRDefault="00AD77C3" w:rsidP="00EC6638">
      <w:pPr>
        <w:spacing w:after="0" w:line="240" w:lineRule="auto"/>
      </w:pPr>
      <w:r>
        <w:continuationSeparator/>
      </w:r>
    </w:p>
  </w:footnote>
  <w:footnote w:type="continuationNotice" w:id="1">
    <w:p w14:paraId="03ADE944" w14:textId="77777777" w:rsidR="00AD77C3" w:rsidRDefault="00AD77C3">
      <w:pPr>
        <w:spacing w:after="0" w:line="240" w:lineRule="auto"/>
      </w:pPr>
    </w:p>
  </w:footnote>
  <w:footnote w:id="2">
    <w:p w14:paraId="6F8F4C97" w14:textId="6480831C" w:rsidR="004D3EA3" w:rsidRDefault="004D3EA3" w:rsidP="004D3EA3">
      <w:pPr>
        <w:pStyle w:val="Textodenotaderodap"/>
        <w:rPr>
          <w:rFonts w:ascii="Segoe UI" w:hAnsi="Segoe UI" w:cs="Segoe UI"/>
          <w:szCs w:val="18"/>
          <w:lang w:eastAsia="pt-BR"/>
        </w:rPr>
      </w:pPr>
      <w:r>
        <w:rPr>
          <w:rStyle w:val="Refdenotaderodap"/>
          <w:rFonts w:ascii="Segoe UI" w:hAnsi="Segoe UI" w:cs="Segoe UI"/>
          <w:szCs w:val="18"/>
        </w:rPr>
        <w:footnoteRef/>
      </w:r>
      <w:r>
        <w:rPr>
          <w:rFonts w:ascii="Segoe UI" w:hAnsi="Segoe UI" w:cs="Segoe UI"/>
          <w:szCs w:val="18"/>
        </w:rPr>
        <w:t xml:space="preserve"> Significa a Auditoria Interna da Cosan S.A, controladora indireta da Necta.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2996" w14:textId="12152B95" w:rsidR="00FE3492" w:rsidRDefault="00FE3492">
    <w:pPr>
      <w:pStyle w:val="Cabealho"/>
    </w:pPr>
    <w:r>
      <w:rPr>
        <w:noProof/>
      </w:rPr>
      <mc:AlternateContent>
        <mc:Choice Requires="wps">
          <w:drawing>
            <wp:anchor distT="0" distB="0" distL="0" distR="0" simplePos="0" relativeHeight="251659264" behindDoc="0" locked="0" layoutInCell="1" allowOverlap="1" wp14:anchorId="5135ADA6" wp14:editId="133943C6">
              <wp:simplePos x="635" y="635"/>
              <wp:positionH relativeFrom="page">
                <wp:align>left</wp:align>
              </wp:positionH>
              <wp:positionV relativeFrom="page">
                <wp:align>top</wp:align>
              </wp:positionV>
              <wp:extent cx="632460" cy="357505"/>
              <wp:effectExtent l="0" t="0" r="15240" b="4445"/>
              <wp:wrapNone/>
              <wp:docPr id="1814694166"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222907B1" w14:textId="1B18C4EE"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35ADA6" id="_x0000_t202" coordsize="21600,21600" o:spt="202" path="m,l,21600r21600,l21600,xe">
              <v:stroke joinstyle="miter"/>
              <v:path gradientshapeok="t" o:connecttype="rect"/>
            </v:shapetype>
            <v:shape id="Caixa de Texto 2" o:spid="_x0000_s1026" type="#_x0000_t202" alt="Público" style="position:absolute;margin-left:0;margin-top:0;width:49.8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9UDQIAABoEAAAOAAAAZHJzL2Uyb0RvYy54bWysU0uP0zAQviPxHyzfadLutkDUdFV2VYRU&#10;7a7URXt2HbuJZHss221Sfj1jJ2lh4YS4OPPKPL75ZnnXaUVOwvkGTEmnk5wSYThUjTmU9PvL5sMn&#10;SnxgpmIKjCjpWXh6t3r/btnaQsygBlUJRzCJ8UVrS1qHYIss87wWmvkJWGHQKcFpFlB1h6xyrMXs&#10;WmWzPF9kLbjKOuDCe7Q+9E66SvmlFDw8SelFIKqk2FtIr0vvPr7ZasmKg2O2bvjQBvuHLjRrDBa9&#10;pHpggZGja/5IpRvuwIMMEw46AykbLtIMOM00fzPNrmZWpFkQHG8vMPn/l5Y/nnb22ZHQfYEOFxgB&#10;aa0vPBrjPJ10On6xU4J+hPB8gU10gXA0Lm5mtwv0cHTdzD/O83nMkl1/ts6HrwI0iUJJHW4lgcVO&#10;Wx/60DEk1jKwaZRKm1HmNwPmjJbs2mGUQrfvhrb3UJ1xGgf9or3lmwZrbpkPz8zhZrFNZGt4wkcq&#10;aEsKg0RJDe7H3+wxHgFHLyUtMqWkBqlMifpmcBGz+W2eR2Ylbfo5n0fNJQ2F/SiYo74HJOEU78Hy&#10;JMa4oEZROtCvSOZ1rIYuZjjWLGkYxfvQ8xaPgYv1OgUhiSwLW7OzPKaOYEUkX7pX5uwAd8A9PcLI&#10;JVa8Qb2PjX96uz4GxD6tJALbozngjQRMSx2OJTL8Vz1FXU969RMAAP//AwBQSwMEFAAGAAgAAAAh&#10;ANYu5lrbAAAAAwEAAA8AAABkcnMvZG93bnJldi54bWxMj0tLxEAQhO+C/2FowZs78bHBjZksIggK&#10;LovrotfZTOeBmZ6Qnmziv7f1opeGooqqr/P17Dt1xIHbQAYuFwkopDK4lmoD+7fHi1tQHC052wVC&#10;A1/IsC5OT3KbuTDRKx53sVZSQpxZA02MfaY1lw16y4vQI4lXhcHbKHKotRvsJOW+01dJkmpvW5KF&#10;xvb40GD5uRu9gacb/ohjVS1587KZkufJ78ftuzHnZ/P9HaiIc/wLww++oEMhTIcwkmPVGZBH4u8V&#10;b7VKQR0MLNNr0EWu/7MX3wAAAP//AwBQSwECLQAUAAYACAAAACEAtoM4kv4AAADhAQAAEwAAAAAA&#10;AAAAAAAAAAAAAAAAW0NvbnRlbnRfVHlwZXNdLnhtbFBLAQItABQABgAIAAAAIQA4/SH/1gAAAJQB&#10;AAALAAAAAAAAAAAAAAAAAC8BAABfcmVscy8ucmVsc1BLAQItABQABgAIAAAAIQATq29UDQIAABoE&#10;AAAOAAAAAAAAAAAAAAAAAC4CAABkcnMvZTJvRG9jLnhtbFBLAQItABQABgAIAAAAIQDWLuZa2wAA&#10;AAMBAAAPAAAAAAAAAAAAAAAAAGcEAABkcnMvZG93bnJldi54bWxQSwUGAAAAAAQABADzAAAAbwUA&#10;AAAA&#10;" filled="f" stroked="f">
              <v:textbox style="mso-fit-shape-to-text:t" inset="20pt,15pt,0,0">
                <w:txbxContent>
                  <w:p w14:paraId="222907B1" w14:textId="1B18C4EE"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351" w:type="dxa"/>
      <w:jc w:val="center"/>
      <w:tblLook w:val="04A0" w:firstRow="1" w:lastRow="0" w:firstColumn="1" w:lastColumn="0" w:noHBand="0" w:noVBand="1"/>
    </w:tblPr>
    <w:tblGrid>
      <w:gridCol w:w="950"/>
      <w:gridCol w:w="2016"/>
      <w:gridCol w:w="238"/>
      <w:gridCol w:w="1219"/>
      <w:gridCol w:w="1482"/>
      <w:gridCol w:w="753"/>
      <w:gridCol w:w="594"/>
      <w:gridCol w:w="2099"/>
    </w:tblGrid>
    <w:tr w:rsidR="006B04D5" w:rsidRPr="00036875" w14:paraId="0F08D72F" w14:textId="77777777" w:rsidTr="00AA3F04">
      <w:trPr>
        <w:trHeight w:val="415"/>
        <w:jc w:val="center"/>
      </w:trPr>
      <w:tc>
        <w:tcPr>
          <w:tcW w:w="2966" w:type="dxa"/>
          <w:gridSpan w:val="2"/>
          <w:vMerge w:val="restart"/>
        </w:tcPr>
        <w:p w14:paraId="3A889BC5" w14:textId="1ED3C7C9" w:rsidR="006B04D5" w:rsidRPr="00FA47F3" w:rsidRDefault="00FE3492" w:rsidP="006B04D5">
          <w:pPr>
            <w:pStyle w:val="Cabealho"/>
            <w:rPr>
              <w:rFonts w:ascii="Times New Roman" w:hAnsi="Times New Roman" w:cs="Times New Roman"/>
              <w:sz w:val="16"/>
              <w:szCs w:val="16"/>
            </w:rPr>
          </w:pPr>
          <w:r w:rsidRPr="00FA47F3">
            <w:rPr>
              <w:noProof/>
              <w:sz w:val="16"/>
              <w:szCs w:val="16"/>
            </w:rPr>
            <mc:AlternateContent>
              <mc:Choice Requires="wps">
                <w:drawing>
                  <wp:anchor distT="0" distB="0" distL="0" distR="0" simplePos="0" relativeHeight="251660288" behindDoc="0" locked="0" layoutInCell="1" allowOverlap="1" wp14:anchorId="3DA41A80" wp14:editId="16142049">
                    <wp:simplePos x="876300" y="457200"/>
                    <wp:positionH relativeFrom="page">
                      <wp:align>left</wp:align>
                    </wp:positionH>
                    <wp:positionV relativeFrom="page">
                      <wp:align>top</wp:align>
                    </wp:positionV>
                    <wp:extent cx="632460" cy="357505"/>
                    <wp:effectExtent l="0" t="0" r="15240" b="4445"/>
                    <wp:wrapNone/>
                    <wp:docPr id="1423009983"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012D7EF9" w14:textId="496CD59F"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A41A80" id="_x0000_t202" coordsize="21600,21600" o:spt="202" path="m,l,21600r21600,l21600,xe">
                    <v:stroke joinstyle="miter"/>
                    <v:path gradientshapeok="t" o:connecttype="rect"/>
                  </v:shapetype>
                  <v:shape id="Caixa de Texto 3" o:spid="_x0000_s1027" type="#_x0000_t202" alt="Público" style="position:absolute;margin-left:0;margin-top:0;width:49.8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L3EAIAACEEAAAOAAAAZHJzL2Uyb0RvYy54bWysU8tu2zAQvBfoPxC815Kd2E0Fy4GbwEWB&#10;IAngFDnTFGUJILkEubbkfn2XlB9p2lPRC7UvLXdnhvPb3mi2Vz60YEs+HuWcKSuhau225D9eVp9u&#10;OAsobCU0WFXygwr8dvHxw7xzhZpAA7pSnlETG4rOlbxBdEWWBdkoI8IInLKUrMEbgeT6bVZ50VF3&#10;o7NJns+yDnzlPEgVAkXvhyRfpP51rSQ+1XVQyHTJaTZMp0/nJp7ZYi6KrReuaeVxDPEPUxjRWrr0&#10;3OpeoGA73/7RyrTSQ4AaRxJMBnXdSpV2oG3G+btt1o1wKu1C4AR3hin8v7bycb92z55h/xV6IjAC&#10;0rlQBArGffram/ilSRnlCcLDGTbVI5MUnF1NrmeUkZS6mn6e5tPYJbv87HzAbwoMi0bJPbGSwBL7&#10;h4BD6akk3mVh1WqdmNH2twD1jJHsMmG0sN/0rK3eTL+B6kBLeRj4Dk6uWrr6QQR8Fp4IpmlJtPhE&#10;R62hKzkcLc4a8D//Fo/1hDtlOetIMCW3pGjO9HdLfEym13keBZa88Zd8Gj2fPDI2J8PuzB2QFsf0&#10;LJxMZqxDfTJrD+aVNL2Mt1FKWEl3lhxP5h0O8qU3IdVymYpIS07gg107GVtHzCKgL/2r8O6IOhJd&#10;j3CSlCjegT/Uxj+DW+6QKEjMRHwHNI+wkw4Tt8c3E4X+1k9Vl5e9+AUAAP//AwBQSwMEFAAGAAgA&#10;AAAhANYu5lrbAAAAAwEAAA8AAABkcnMvZG93bnJldi54bWxMj0tLxEAQhO+C/2FowZs78bHBjZks&#10;IggKLovrotfZTOeBmZ6Qnmziv7f1opeGooqqr/P17Dt1xIHbQAYuFwkopDK4lmoD+7fHi1tQHC05&#10;2wVCA1/IsC5OT3KbuTDRKx53sVZSQpxZA02MfaY1lw16y4vQI4lXhcHbKHKotRvsJOW+01dJkmpv&#10;W5KFxvb40GD5uRu9gacb/ohjVS1587KZkufJ78ftuzHnZ/P9HaiIc/wLww++oEMhTIcwkmPVGZBH&#10;4u8Vb7VKQR0MLNNr0EWu/7MX3wAAAP//AwBQSwECLQAUAAYACAAAACEAtoM4kv4AAADhAQAAEwAA&#10;AAAAAAAAAAAAAAAAAAAAW0NvbnRlbnRfVHlwZXNdLnhtbFBLAQItABQABgAIAAAAIQA4/SH/1gAA&#10;AJQBAAALAAAAAAAAAAAAAAAAAC8BAABfcmVscy8ucmVsc1BLAQItABQABgAIAAAAIQDkJSL3EAIA&#10;ACEEAAAOAAAAAAAAAAAAAAAAAC4CAABkcnMvZTJvRG9jLnhtbFBLAQItABQABgAIAAAAIQDWLuZa&#10;2wAAAAMBAAAPAAAAAAAAAAAAAAAAAGoEAABkcnMvZG93bnJldi54bWxQSwUGAAAAAAQABADzAAAA&#10;cgUAAAAA&#10;" filled="f" stroked="f">
                    <v:textbox style="mso-fit-shape-to-text:t" inset="20pt,15pt,0,0">
                      <w:txbxContent>
                        <w:p w14:paraId="012D7EF9" w14:textId="496CD59F"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v:textbox>
                    <w10:wrap anchorx="page" anchory="page"/>
                  </v:shape>
                </w:pict>
              </mc:Fallback>
            </mc:AlternateContent>
          </w:r>
          <w:r w:rsidR="00A4238A" w:rsidRPr="00FA47F3">
            <w:rPr>
              <w:noProof/>
              <w:sz w:val="16"/>
              <w:szCs w:val="16"/>
            </w:rPr>
            <w:drawing>
              <wp:inline distT="0" distB="0" distL="0" distR="0" wp14:anchorId="6632AD2C" wp14:editId="412A6580">
                <wp:extent cx="1612800" cy="658800"/>
                <wp:effectExtent l="0" t="0" r="0" b="0"/>
                <wp:docPr id="1462633281" name="Imagem 146263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800" cy="658800"/>
                        </a:xfrm>
                        <a:prstGeom prst="rect">
                          <a:avLst/>
                        </a:prstGeom>
                        <a:noFill/>
                        <a:ln>
                          <a:noFill/>
                        </a:ln>
                      </pic:spPr>
                    </pic:pic>
                  </a:graphicData>
                </a:graphic>
              </wp:inline>
            </w:drawing>
          </w:r>
        </w:p>
      </w:tc>
      <w:tc>
        <w:tcPr>
          <w:tcW w:w="3692" w:type="dxa"/>
          <w:gridSpan w:val="4"/>
          <w:vMerge w:val="restart"/>
          <w:vAlign w:val="center"/>
        </w:tcPr>
        <w:p w14:paraId="25CCA45E" w14:textId="12AA96D7" w:rsidR="006B04D5" w:rsidRPr="00FA47F3" w:rsidRDefault="00826577" w:rsidP="006B04D5">
          <w:pPr>
            <w:pStyle w:val="Cabealho"/>
            <w:spacing w:line="360" w:lineRule="auto"/>
            <w:jc w:val="center"/>
            <w:rPr>
              <w:rFonts w:ascii="Times New Roman" w:hAnsi="Times New Roman" w:cs="Times New Roman"/>
              <w:b/>
              <w:sz w:val="16"/>
              <w:szCs w:val="16"/>
            </w:rPr>
          </w:pPr>
          <w:r w:rsidRPr="00FA47F3">
            <w:rPr>
              <w:rFonts w:ascii="Times New Roman" w:hAnsi="Times New Roman" w:cs="Times New Roman"/>
              <w:b/>
              <w:color w:val="242424"/>
              <w:sz w:val="16"/>
              <w:szCs w:val="16"/>
              <w:shd w:val="clear" w:color="auto" w:fill="FFFFFF"/>
            </w:rPr>
            <w:t xml:space="preserve">Política </w:t>
          </w:r>
          <w:r w:rsidR="004D3EA3" w:rsidRPr="00FA47F3">
            <w:rPr>
              <w:rFonts w:ascii="Times New Roman" w:hAnsi="Times New Roman" w:cs="Times New Roman"/>
              <w:b/>
              <w:color w:val="242424"/>
              <w:sz w:val="16"/>
              <w:szCs w:val="16"/>
              <w:shd w:val="clear" w:color="auto" w:fill="FFFFFF"/>
            </w:rPr>
            <w:t>Antitruste</w:t>
          </w:r>
        </w:p>
      </w:tc>
      <w:tc>
        <w:tcPr>
          <w:tcW w:w="2693" w:type="dxa"/>
          <w:gridSpan w:val="2"/>
        </w:tcPr>
        <w:p w14:paraId="36CA6EC9" w14:textId="7EB4E87B" w:rsidR="006B04D5" w:rsidRPr="00FA47F3" w:rsidRDefault="00FA47F3" w:rsidP="006B04D5">
          <w:pPr>
            <w:pStyle w:val="Cabealho"/>
            <w:rPr>
              <w:rFonts w:ascii="Times New Roman" w:hAnsi="Times New Roman" w:cs="Times New Roman"/>
              <w:sz w:val="16"/>
              <w:szCs w:val="16"/>
            </w:rPr>
          </w:pPr>
          <w:r>
            <w:rPr>
              <w:rFonts w:ascii="Times New Roman" w:hAnsi="Times New Roman" w:cs="Times New Roman"/>
              <w:sz w:val="16"/>
              <w:szCs w:val="16"/>
            </w:rPr>
            <w:t>J&amp;</w:t>
          </w:r>
          <w:r w:rsidR="00073970">
            <w:rPr>
              <w:rFonts w:ascii="Times New Roman" w:hAnsi="Times New Roman" w:cs="Times New Roman"/>
              <w:sz w:val="16"/>
              <w:szCs w:val="16"/>
            </w:rPr>
            <w:t>C 003</w:t>
          </w:r>
        </w:p>
      </w:tc>
    </w:tr>
    <w:tr w:rsidR="006B04D5" w:rsidRPr="00036875" w14:paraId="39AFFBB5" w14:textId="77777777" w:rsidTr="00AA3F04">
      <w:trPr>
        <w:trHeight w:val="461"/>
        <w:jc w:val="center"/>
      </w:trPr>
      <w:tc>
        <w:tcPr>
          <w:tcW w:w="2966" w:type="dxa"/>
          <w:gridSpan w:val="2"/>
          <w:vMerge/>
        </w:tcPr>
        <w:p w14:paraId="6133E876" w14:textId="77777777" w:rsidR="006B04D5" w:rsidRPr="00FA47F3" w:rsidRDefault="006B04D5" w:rsidP="006B04D5">
          <w:pPr>
            <w:pStyle w:val="Cabealho"/>
            <w:rPr>
              <w:rFonts w:ascii="Times New Roman" w:hAnsi="Times New Roman" w:cs="Times New Roman"/>
              <w:sz w:val="16"/>
              <w:szCs w:val="16"/>
            </w:rPr>
          </w:pPr>
        </w:p>
      </w:tc>
      <w:tc>
        <w:tcPr>
          <w:tcW w:w="3692" w:type="dxa"/>
          <w:gridSpan w:val="4"/>
          <w:vMerge/>
        </w:tcPr>
        <w:p w14:paraId="1F69CE29" w14:textId="77777777" w:rsidR="006B04D5" w:rsidRPr="00FA47F3" w:rsidRDefault="006B04D5" w:rsidP="006B04D5">
          <w:pPr>
            <w:pStyle w:val="Cabealho"/>
            <w:rPr>
              <w:rFonts w:ascii="Times New Roman" w:hAnsi="Times New Roman" w:cs="Times New Roman"/>
              <w:sz w:val="16"/>
              <w:szCs w:val="16"/>
            </w:rPr>
          </w:pPr>
        </w:p>
      </w:tc>
      <w:tc>
        <w:tcPr>
          <w:tcW w:w="2693" w:type="dxa"/>
          <w:gridSpan w:val="2"/>
        </w:tcPr>
        <w:p w14:paraId="3916C5D3" w14:textId="720119B0" w:rsidR="006B04D5" w:rsidRPr="00FA47F3" w:rsidRDefault="006B04D5" w:rsidP="006B04D5">
          <w:pPr>
            <w:pStyle w:val="Cabealho"/>
            <w:rPr>
              <w:rFonts w:ascii="Times New Roman" w:hAnsi="Times New Roman" w:cs="Times New Roman"/>
              <w:sz w:val="16"/>
              <w:szCs w:val="16"/>
            </w:rPr>
          </w:pPr>
          <w:r w:rsidRPr="00FA47F3">
            <w:rPr>
              <w:rFonts w:ascii="Times New Roman" w:hAnsi="Times New Roman" w:cs="Times New Roman"/>
              <w:sz w:val="16"/>
              <w:szCs w:val="16"/>
            </w:rPr>
            <w:t xml:space="preserve">Responsável: </w:t>
          </w:r>
          <w:r w:rsidR="00826577" w:rsidRPr="00FA47F3">
            <w:rPr>
              <w:rFonts w:ascii="Times New Roman" w:hAnsi="Times New Roman" w:cs="Times New Roman"/>
              <w:sz w:val="16"/>
              <w:szCs w:val="16"/>
            </w:rPr>
            <w:t>Jurídico &amp; Compliance</w:t>
          </w:r>
        </w:p>
      </w:tc>
    </w:tr>
    <w:tr w:rsidR="006B04D5" w:rsidRPr="0062408B" w14:paraId="620A8CF7" w14:textId="77777777" w:rsidTr="004163CB">
      <w:trPr>
        <w:trHeight w:val="274"/>
        <w:jc w:val="center"/>
      </w:trPr>
      <w:tc>
        <w:tcPr>
          <w:tcW w:w="9351" w:type="dxa"/>
          <w:gridSpan w:val="8"/>
        </w:tcPr>
        <w:p w14:paraId="74712FDD" w14:textId="77777777" w:rsidR="006B04D5" w:rsidRPr="00FA47F3" w:rsidRDefault="006B04D5" w:rsidP="006B04D5">
          <w:pPr>
            <w:pStyle w:val="Rodap"/>
            <w:jc w:val="center"/>
            <w:rPr>
              <w:rFonts w:ascii="Times New Roman" w:hAnsi="Times New Roman" w:cs="Times New Roman"/>
              <w:b/>
              <w:sz w:val="16"/>
              <w:szCs w:val="16"/>
            </w:rPr>
          </w:pPr>
        </w:p>
        <w:p w14:paraId="35463922" w14:textId="77777777" w:rsidR="006B04D5" w:rsidRPr="00FA47F3" w:rsidRDefault="006B04D5" w:rsidP="006B04D5">
          <w:pPr>
            <w:pStyle w:val="Rodap"/>
            <w:jc w:val="center"/>
            <w:rPr>
              <w:rFonts w:ascii="Times New Roman" w:hAnsi="Times New Roman" w:cs="Times New Roman"/>
              <w:b/>
              <w:sz w:val="16"/>
              <w:szCs w:val="16"/>
            </w:rPr>
          </w:pPr>
          <w:r w:rsidRPr="00FA47F3">
            <w:rPr>
              <w:rFonts w:ascii="Times New Roman" w:hAnsi="Times New Roman" w:cs="Times New Roman"/>
              <w:b/>
              <w:sz w:val="16"/>
              <w:szCs w:val="16"/>
            </w:rPr>
            <w:t>Índice de Revisões</w:t>
          </w:r>
        </w:p>
      </w:tc>
    </w:tr>
    <w:tr w:rsidR="006B04D5" w:rsidRPr="0062408B" w14:paraId="00799858" w14:textId="77777777" w:rsidTr="00AA3F04">
      <w:trPr>
        <w:trHeight w:val="363"/>
        <w:jc w:val="center"/>
      </w:trPr>
      <w:tc>
        <w:tcPr>
          <w:tcW w:w="950" w:type="dxa"/>
        </w:tcPr>
        <w:p w14:paraId="49CEC1BD" w14:textId="5339A4CB" w:rsidR="006B04D5" w:rsidRPr="00FA47F3" w:rsidRDefault="00C107D5" w:rsidP="006B04D5">
          <w:pPr>
            <w:pStyle w:val="Rodap"/>
            <w:jc w:val="center"/>
            <w:rPr>
              <w:rFonts w:ascii="Times New Roman" w:hAnsi="Times New Roman" w:cs="Times New Roman"/>
              <w:b/>
              <w:sz w:val="16"/>
              <w:szCs w:val="16"/>
            </w:rPr>
          </w:pPr>
          <w:r w:rsidRPr="00FA47F3">
            <w:rPr>
              <w:rFonts w:ascii="Times New Roman" w:hAnsi="Times New Roman" w:cs="Times New Roman"/>
              <w:b/>
              <w:sz w:val="16"/>
              <w:szCs w:val="16"/>
            </w:rPr>
            <w:t>Ver</w:t>
          </w:r>
          <w:r w:rsidR="006B04D5" w:rsidRPr="00FA47F3">
            <w:rPr>
              <w:rFonts w:ascii="Times New Roman" w:hAnsi="Times New Roman" w:cs="Times New Roman"/>
              <w:b/>
              <w:sz w:val="16"/>
              <w:szCs w:val="16"/>
            </w:rPr>
            <w:t>são</w:t>
          </w:r>
        </w:p>
      </w:tc>
      <w:tc>
        <w:tcPr>
          <w:tcW w:w="2254" w:type="dxa"/>
          <w:gridSpan w:val="2"/>
        </w:tcPr>
        <w:p w14:paraId="1BEB399E" w14:textId="77777777" w:rsidR="006B04D5" w:rsidRPr="00FA47F3" w:rsidRDefault="006B04D5" w:rsidP="006B04D5">
          <w:pPr>
            <w:pStyle w:val="Rodap"/>
            <w:jc w:val="center"/>
            <w:rPr>
              <w:rFonts w:ascii="Times New Roman" w:hAnsi="Times New Roman" w:cs="Times New Roman"/>
              <w:b/>
              <w:sz w:val="16"/>
              <w:szCs w:val="16"/>
            </w:rPr>
          </w:pPr>
          <w:r w:rsidRPr="00FA47F3">
            <w:rPr>
              <w:rFonts w:ascii="Times New Roman" w:hAnsi="Times New Roman" w:cs="Times New Roman"/>
              <w:b/>
              <w:sz w:val="16"/>
              <w:szCs w:val="16"/>
            </w:rPr>
            <w:t>Descrição</w:t>
          </w:r>
        </w:p>
      </w:tc>
      <w:tc>
        <w:tcPr>
          <w:tcW w:w="1219" w:type="dxa"/>
        </w:tcPr>
        <w:p w14:paraId="2A0E2097" w14:textId="77777777" w:rsidR="006B04D5" w:rsidRPr="00FA47F3" w:rsidRDefault="006B04D5" w:rsidP="006B04D5">
          <w:pPr>
            <w:pStyle w:val="Rodap"/>
            <w:jc w:val="center"/>
            <w:rPr>
              <w:rFonts w:ascii="Times New Roman" w:hAnsi="Times New Roman" w:cs="Times New Roman"/>
              <w:b/>
              <w:sz w:val="16"/>
              <w:szCs w:val="16"/>
            </w:rPr>
          </w:pPr>
          <w:r w:rsidRPr="00FA47F3">
            <w:rPr>
              <w:rFonts w:ascii="Times New Roman" w:hAnsi="Times New Roman" w:cs="Times New Roman"/>
              <w:b/>
              <w:sz w:val="16"/>
              <w:szCs w:val="16"/>
            </w:rPr>
            <w:t>Data</w:t>
          </w:r>
        </w:p>
      </w:tc>
      <w:tc>
        <w:tcPr>
          <w:tcW w:w="1482" w:type="dxa"/>
        </w:tcPr>
        <w:p w14:paraId="7B05118D" w14:textId="77777777" w:rsidR="006B04D5" w:rsidRPr="00FA47F3" w:rsidRDefault="006B04D5" w:rsidP="006B04D5">
          <w:pPr>
            <w:pStyle w:val="Rodap"/>
            <w:jc w:val="center"/>
            <w:rPr>
              <w:rFonts w:ascii="Times New Roman" w:hAnsi="Times New Roman" w:cs="Times New Roman"/>
              <w:b/>
              <w:sz w:val="16"/>
              <w:szCs w:val="16"/>
            </w:rPr>
          </w:pPr>
          <w:r w:rsidRPr="00FA47F3">
            <w:rPr>
              <w:rFonts w:ascii="Times New Roman" w:hAnsi="Times New Roman" w:cs="Times New Roman"/>
              <w:b/>
              <w:sz w:val="16"/>
              <w:szCs w:val="16"/>
            </w:rPr>
            <w:t>Elaborado por</w:t>
          </w:r>
        </w:p>
      </w:tc>
      <w:tc>
        <w:tcPr>
          <w:tcW w:w="1347" w:type="dxa"/>
          <w:gridSpan w:val="2"/>
        </w:tcPr>
        <w:p w14:paraId="0C7F401E" w14:textId="77777777" w:rsidR="006B04D5" w:rsidRPr="00FA47F3" w:rsidRDefault="006B04D5" w:rsidP="006B04D5">
          <w:pPr>
            <w:pStyle w:val="Rodap"/>
            <w:jc w:val="center"/>
            <w:rPr>
              <w:rFonts w:ascii="Times New Roman" w:hAnsi="Times New Roman" w:cs="Times New Roman"/>
              <w:b/>
              <w:sz w:val="16"/>
              <w:szCs w:val="16"/>
            </w:rPr>
          </w:pPr>
          <w:r w:rsidRPr="00FA47F3">
            <w:rPr>
              <w:rFonts w:ascii="Times New Roman" w:hAnsi="Times New Roman" w:cs="Times New Roman"/>
              <w:b/>
              <w:sz w:val="16"/>
              <w:szCs w:val="16"/>
            </w:rPr>
            <w:t>Revisado por</w:t>
          </w:r>
        </w:p>
      </w:tc>
      <w:tc>
        <w:tcPr>
          <w:tcW w:w="2099" w:type="dxa"/>
        </w:tcPr>
        <w:p w14:paraId="08CB75F9" w14:textId="77777777" w:rsidR="006B04D5" w:rsidRPr="00FA47F3" w:rsidRDefault="006B04D5" w:rsidP="006B04D5">
          <w:pPr>
            <w:pStyle w:val="Rodap"/>
            <w:jc w:val="center"/>
            <w:rPr>
              <w:rFonts w:ascii="Times New Roman" w:hAnsi="Times New Roman" w:cs="Times New Roman"/>
              <w:b/>
              <w:sz w:val="16"/>
              <w:szCs w:val="16"/>
            </w:rPr>
          </w:pPr>
          <w:r w:rsidRPr="00FA47F3">
            <w:rPr>
              <w:rFonts w:ascii="Times New Roman" w:hAnsi="Times New Roman" w:cs="Times New Roman"/>
              <w:b/>
              <w:sz w:val="16"/>
              <w:szCs w:val="16"/>
            </w:rPr>
            <w:t>Aprovado por</w:t>
          </w:r>
        </w:p>
      </w:tc>
    </w:tr>
    <w:tr w:rsidR="00826577" w:rsidRPr="0062408B" w14:paraId="096A808E" w14:textId="77777777" w:rsidTr="00AA3F04">
      <w:trPr>
        <w:trHeight w:val="308"/>
        <w:jc w:val="center"/>
      </w:trPr>
      <w:tc>
        <w:tcPr>
          <w:tcW w:w="950" w:type="dxa"/>
        </w:tcPr>
        <w:p w14:paraId="53D61500" w14:textId="77777777"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01</w:t>
          </w:r>
        </w:p>
      </w:tc>
      <w:tc>
        <w:tcPr>
          <w:tcW w:w="2254" w:type="dxa"/>
          <w:gridSpan w:val="2"/>
        </w:tcPr>
        <w:p w14:paraId="56F08135" w14:textId="77777777"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Criação do documento</w:t>
          </w:r>
        </w:p>
      </w:tc>
      <w:tc>
        <w:tcPr>
          <w:tcW w:w="1219" w:type="dxa"/>
        </w:tcPr>
        <w:p w14:paraId="6399BC3F" w14:textId="0F5921CD"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11/07/2022</w:t>
          </w:r>
        </w:p>
      </w:tc>
      <w:tc>
        <w:tcPr>
          <w:tcW w:w="1482" w:type="dxa"/>
        </w:tcPr>
        <w:p w14:paraId="1BD7AF9B" w14:textId="69727443" w:rsidR="00826577" w:rsidRPr="00FA47F3" w:rsidRDefault="00826577" w:rsidP="00826577">
          <w:pPr>
            <w:pStyle w:val="Rodap"/>
            <w:jc w:val="center"/>
            <w:rPr>
              <w:rFonts w:ascii="Times New Roman" w:hAnsi="Times New Roman" w:cs="Times New Roman"/>
              <w:sz w:val="16"/>
              <w:szCs w:val="16"/>
            </w:rPr>
          </w:pPr>
        </w:p>
      </w:tc>
      <w:tc>
        <w:tcPr>
          <w:tcW w:w="1347" w:type="dxa"/>
          <w:gridSpan w:val="2"/>
        </w:tcPr>
        <w:p w14:paraId="3C78844E" w14:textId="66E3106B" w:rsidR="00826577" w:rsidRPr="00FA47F3" w:rsidRDefault="00826577" w:rsidP="00826577">
          <w:pPr>
            <w:pStyle w:val="Rodap"/>
            <w:jc w:val="center"/>
            <w:rPr>
              <w:rFonts w:ascii="Times New Roman" w:hAnsi="Times New Roman" w:cs="Times New Roman"/>
              <w:sz w:val="16"/>
              <w:szCs w:val="16"/>
            </w:rPr>
          </w:pPr>
        </w:p>
      </w:tc>
      <w:tc>
        <w:tcPr>
          <w:tcW w:w="2099" w:type="dxa"/>
        </w:tcPr>
        <w:p w14:paraId="76788A9C" w14:textId="7C1A8381"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Conselho de Administração</w:t>
          </w:r>
        </w:p>
      </w:tc>
    </w:tr>
    <w:tr w:rsidR="00826577" w:rsidRPr="0062408B" w14:paraId="32A9F2E0" w14:textId="77777777" w:rsidTr="00AA3F04">
      <w:trPr>
        <w:trHeight w:val="308"/>
        <w:jc w:val="center"/>
      </w:trPr>
      <w:tc>
        <w:tcPr>
          <w:tcW w:w="950" w:type="dxa"/>
        </w:tcPr>
        <w:p w14:paraId="6531B15C" w14:textId="2786235A"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02</w:t>
          </w:r>
        </w:p>
      </w:tc>
      <w:tc>
        <w:tcPr>
          <w:tcW w:w="2254" w:type="dxa"/>
          <w:gridSpan w:val="2"/>
        </w:tcPr>
        <w:p w14:paraId="3E6E13A1" w14:textId="073F0D1B"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Atualização de Documento</w:t>
          </w:r>
        </w:p>
      </w:tc>
      <w:tc>
        <w:tcPr>
          <w:tcW w:w="1219" w:type="dxa"/>
        </w:tcPr>
        <w:p w14:paraId="1FF3CEF9" w14:textId="64BD926B"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21/</w:t>
          </w:r>
          <w:r w:rsidR="00126E85" w:rsidRPr="00FA47F3">
            <w:rPr>
              <w:rFonts w:ascii="Times New Roman" w:hAnsi="Times New Roman" w:cs="Times New Roman"/>
              <w:sz w:val="16"/>
              <w:szCs w:val="16"/>
            </w:rPr>
            <w:t>03/</w:t>
          </w:r>
          <w:r w:rsidRPr="00FA47F3">
            <w:rPr>
              <w:rFonts w:ascii="Times New Roman" w:hAnsi="Times New Roman" w:cs="Times New Roman"/>
              <w:sz w:val="16"/>
              <w:szCs w:val="16"/>
            </w:rPr>
            <w:t>2024</w:t>
          </w:r>
        </w:p>
      </w:tc>
      <w:tc>
        <w:tcPr>
          <w:tcW w:w="1482" w:type="dxa"/>
        </w:tcPr>
        <w:p w14:paraId="6757E4DF" w14:textId="5DEDCF32"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Daniela Monteiro Trevizani</w:t>
          </w:r>
        </w:p>
      </w:tc>
      <w:tc>
        <w:tcPr>
          <w:tcW w:w="1347" w:type="dxa"/>
          <w:gridSpan w:val="2"/>
        </w:tcPr>
        <w:p w14:paraId="31F4249E" w14:textId="0C22B9D4"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Marcos Vinícius Lourenço</w:t>
          </w:r>
        </w:p>
      </w:tc>
      <w:tc>
        <w:tcPr>
          <w:tcW w:w="2099" w:type="dxa"/>
        </w:tcPr>
        <w:p w14:paraId="7E2D808F" w14:textId="6397A996" w:rsidR="00826577" w:rsidRPr="00FA47F3" w:rsidRDefault="00826577" w:rsidP="00826577">
          <w:pPr>
            <w:pStyle w:val="Rodap"/>
            <w:jc w:val="center"/>
            <w:rPr>
              <w:rFonts w:ascii="Times New Roman" w:hAnsi="Times New Roman" w:cs="Times New Roman"/>
              <w:sz w:val="16"/>
              <w:szCs w:val="16"/>
            </w:rPr>
          </w:pPr>
          <w:r w:rsidRPr="00FA47F3">
            <w:rPr>
              <w:rFonts w:ascii="Times New Roman" w:hAnsi="Times New Roman" w:cs="Times New Roman"/>
              <w:sz w:val="16"/>
              <w:szCs w:val="16"/>
            </w:rPr>
            <w:t>Conselho de Administração</w:t>
          </w:r>
        </w:p>
      </w:tc>
    </w:tr>
    <w:tr w:rsidR="00126E85" w:rsidRPr="00C107D5" w14:paraId="702255B2" w14:textId="77777777" w:rsidTr="00126E85">
      <w:tblPrEx>
        <w:jc w:val="left"/>
      </w:tblPrEx>
      <w:trPr>
        <w:trHeight w:val="308"/>
      </w:trPr>
      <w:tc>
        <w:tcPr>
          <w:tcW w:w="950" w:type="dxa"/>
        </w:tcPr>
        <w:p w14:paraId="7293A506" w14:textId="7437546D" w:rsidR="00126E85" w:rsidRPr="00FA47F3" w:rsidRDefault="00126E85" w:rsidP="00126E85">
          <w:pPr>
            <w:pStyle w:val="Rodap"/>
            <w:jc w:val="center"/>
            <w:rPr>
              <w:rFonts w:ascii="Times New Roman" w:hAnsi="Times New Roman" w:cs="Times New Roman"/>
              <w:sz w:val="16"/>
              <w:szCs w:val="16"/>
            </w:rPr>
          </w:pPr>
          <w:r w:rsidRPr="00FA47F3">
            <w:rPr>
              <w:rFonts w:ascii="Times New Roman" w:hAnsi="Times New Roman" w:cs="Times New Roman"/>
              <w:sz w:val="16"/>
              <w:szCs w:val="16"/>
            </w:rPr>
            <w:t>03</w:t>
          </w:r>
        </w:p>
      </w:tc>
      <w:tc>
        <w:tcPr>
          <w:tcW w:w="2254" w:type="dxa"/>
          <w:gridSpan w:val="2"/>
        </w:tcPr>
        <w:p w14:paraId="252EDB35" w14:textId="77777777" w:rsidR="00126E85" w:rsidRPr="00FA47F3" w:rsidRDefault="00126E85" w:rsidP="00126E85">
          <w:pPr>
            <w:pStyle w:val="Rodap"/>
            <w:jc w:val="center"/>
            <w:rPr>
              <w:rFonts w:ascii="Times New Roman" w:hAnsi="Times New Roman" w:cs="Times New Roman"/>
              <w:sz w:val="16"/>
              <w:szCs w:val="16"/>
            </w:rPr>
          </w:pPr>
          <w:r w:rsidRPr="00FA47F3">
            <w:rPr>
              <w:rFonts w:ascii="Times New Roman" w:hAnsi="Times New Roman" w:cs="Times New Roman"/>
              <w:sz w:val="16"/>
              <w:szCs w:val="16"/>
            </w:rPr>
            <w:t>Atualização de Documento</w:t>
          </w:r>
        </w:p>
      </w:tc>
      <w:tc>
        <w:tcPr>
          <w:tcW w:w="1219" w:type="dxa"/>
        </w:tcPr>
        <w:p w14:paraId="119C35D5" w14:textId="77777777" w:rsidR="00126E85" w:rsidRPr="00FA47F3" w:rsidRDefault="00126E85" w:rsidP="00126E85">
          <w:pPr>
            <w:pStyle w:val="Rodap"/>
            <w:jc w:val="center"/>
            <w:rPr>
              <w:rFonts w:ascii="Times New Roman" w:hAnsi="Times New Roman" w:cs="Times New Roman"/>
              <w:sz w:val="16"/>
              <w:szCs w:val="16"/>
            </w:rPr>
          </w:pPr>
          <w:r w:rsidRPr="00FA47F3">
            <w:rPr>
              <w:rFonts w:ascii="Times New Roman" w:hAnsi="Times New Roman" w:cs="Times New Roman"/>
              <w:sz w:val="16"/>
              <w:szCs w:val="16"/>
            </w:rPr>
            <w:t>21/11/2024</w:t>
          </w:r>
        </w:p>
      </w:tc>
      <w:tc>
        <w:tcPr>
          <w:tcW w:w="1482" w:type="dxa"/>
        </w:tcPr>
        <w:p w14:paraId="30C9DAFC" w14:textId="77777777" w:rsidR="00126E85" w:rsidRPr="00FA47F3" w:rsidRDefault="00126E85" w:rsidP="00126E85">
          <w:pPr>
            <w:pStyle w:val="Rodap"/>
            <w:jc w:val="center"/>
            <w:rPr>
              <w:rFonts w:ascii="Times New Roman" w:hAnsi="Times New Roman" w:cs="Times New Roman"/>
              <w:sz w:val="16"/>
              <w:szCs w:val="16"/>
            </w:rPr>
          </w:pPr>
          <w:r w:rsidRPr="00FA47F3">
            <w:rPr>
              <w:rFonts w:ascii="Times New Roman" w:hAnsi="Times New Roman" w:cs="Times New Roman"/>
              <w:sz w:val="16"/>
              <w:szCs w:val="16"/>
            </w:rPr>
            <w:t>Daniela Monteiro Trevizani</w:t>
          </w:r>
        </w:p>
      </w:tc>
      <w:tc>
        <w:tcPr>
          <w:tcW w:w="1347" w:type="dxa"/>
          <w:gridSpan w:val="2"/>
        </w:tcPr>
        <w:p w14:paraId="4AE2CEA3" w14:textId="77777777" w:rsidR="00126E85" w:rsidRPr="00FA47F3" w:rsidRDefault="00126E85" w:rsidP="00126E85">
          <w:pPr>
            <w:pStyle w:val="Rodap"/>
            <w:jc w:val="center"/>
            <w:rPr>
              <w:rFonts w:ascii="Times New Roman" w:hAnsi="Times New Roman" w:cs="Times New Roman"/>
              <w:sz w:val="16"/>
              <w:szCs w:val="16"/>
            </w:rPr>
          </w:pPr>
          <w:r w:rsidRPr="00FA47F3">
            <w:rPr>
              <w:rFonts w:ascii="Times New Roman" w:hAnsi="Times New Roman" w:cs="Times New Roman"/>
              <w:sz w:val="16"/>
              <w:szCs w:val="16"/>
            </w:rPr>
            <w:t>Marcos Vinícius Lourenço</w:t>
          </w:r>
        </w:p>
      </w:tc>
      <w:tc>
        <w:tcPr>
          <w:tcW w:w="2099" w:type="dxa"/>
        </w:tcPr>
        <w:p w14:paraId="7A1E1BED" w14:textId="77777777" w:rsidR="00126E85" w:rsidRPr="00FA47F3" w:rsidRDefault="00126E85" w:rsidP="00126E85">
          <w:pPr>
            <w:pStyle w:val="Rodap"/>
            <w:jc w:val="center"/>
            <w:rPr>
              <w:rFonts w:ascii="Times New Roman" w:hAnsi="Times New Roman" w:cs="Times New Roman"/>
              <w:sz w:val="16"/>
              <w:szCs w:val="16"/>
            </w:rPr>
          </w:pPr>
          <w:r w:rsidRPr="00FA47F3">
            <w:rPr>
              <w:rFonts w:ascii="Times New Roman" w:hAnsi="Times New Roman" w:cs="Times New Roman"/>
              <w:sz w:val="16"/>
              <w:szCs w:val="16"/>
            </w:rPr>
            <w:t>Conselho de Administração</w:t>
          </w:r>
        </w:p>
      </w:tc>
    </w:tr>
    <w:tr w:rsidR="00ED62A5" w:rsidRPr="00C107D5" w14:paraId="50DD85C4" w14:textId="77777777" w:rsidTr="00126E85">
      <w:tblPrEx>
        <w:jc w:val="left"/>
      </w:tblPrEx>
      <w:trPr>
        <w:trHeight w:val="308"/>
      </w:trPr>
      <w:tc>
        <w:tcPr>
          <w:tcW w:w="950" w:type="dxa"/>
        </w:tcPr>
        <w:p w14:paraId="6A6771C0" w14:textId="2A003430" w:rsidR="00ED62A5" w:rsidRPr="00FA47F3" w:rsidRDefault="00ED62A5" w:rsidP="00ED62A5">
          <w:pPr>
            <w:pStyle w:val="Rodap"/>
            <w:jc w:val="center"/>
            <w:rPr>
              <w:rFonts w:ascii="Times New Roman" w:hAnsi="Times New Roman" w:cs="Times New Roman"/>
              <w:sz w:val="16"/>
              <w:szCs w:val="16"/>
            </w:rPr>
          </w:pPr>
          <w:r>
            <w:rPr>
              <w:rFonts w:ascii="Times New Roman" w:hAnsi="Times New Roman" w:cs="Times New Roman"/>
              <w:sz w:val="16"/>
              <w:szCs w:val="16"/>
            </w:rPr>
            <w:t>04</w:t>
          </w:r>
        </w:p>
      </w:tc>
      <w:tc>
        <w:tcPr>
          <w:tcW w:w="2254" w:type="dxa"/>
          <w:gridSpan w:val="2"/>
        </w:tcPr>
        <w:p w14:paraId="1D83C4A5" w14:textId="384A33EE" w:rsidR="00ED62A5" w:rsidRPr="00FA47F3" w:rsidRDefault="00ED62A5" w:rsidP="00ED62A5">
          <w:pPr>
            <w:pStyle w:val="Rodap"/>
            <w:jc w:val="center"/>
            <w:rPr>
              <w:rFonts w:ascii="Times New Roman" w:hAnsi="Times New Roman" w:cs="Times New Roman"/>
              <w:sz w:val="16"/>
              <w:szCs w:val="16"/>
            </w:rPr>
          </w:pPr>
          <w:r>
            <w:rPr>
              <w:rFonts w:ascii="Times New Roman" w:hAnsi="Times New Roman" w:cs="Times New Roman"/>
              <w:sz w:val="16"/>
              <w:szCs w:val="16"/>
            </w:rPr>
            <w:t xml:space="preserve">Atualização de Documento </w:t>
          </w:r>
        </w:p>
      </w:tc>
      <w:tc>
        <w:tcPr>
          <w:tcW w:w="1219" w:type="dxa"/>
        </w:tcPr>
        <w:p w14:paraId="631BA503" w14:textId="588FE0D0" w:rsidR="00ED62A5" w:rsidRPr="00FA47F3" w:rsidRDefault="00ED62A5" w:rsidP="00ED62A5">
          <w:pPr>
            <w:pStyle w:val="Rodap"/>
            <w:jc w:val="center"/>
            <w:rPr>
              <w:rFonts w:ascii="Times New Roman" w:hAnsi="Times New Roman" w:cs="Times New Roman"/>
              <w:sz w:val="16"/>
              <w:szCs w:val="16"/>
            </w:rPr>
          </w:pPr>
          <w:r>
            <w:rPr>
              <w:rFonts w:ascii="Times New Roman" w:hAnsi="Times New Roman" w:cs="Times New Roman"/>
              <w:sz w:val="16"/>
              <w:szCs w:val="16"/>
            </w:rPr>
            <w:t>10/12/2025</w:t>
          </w:r>
        </w:p>
      </w:tc>
      <w:tc>
        <w:tcPr>
          <w:tcW w:w="1482" w:type="dxa"/>
        </w:tcPr>
        <w:p w14:paraId="36965156" w14:textId="28AFF315" w:rsidR="00ED62A5" w:rsidRPr="00FA47F3" w:rsidRDefault="00ED62A5" w:rsidP="00ED62A5">
          <w:pPr>
            <w:pStyle w:val="Rodap"/>
            <w:jc w:val="center"/>
            <w:rPr>
              <w:rFonts w:ascii="Times New Roman" w:hAnsi="Times New Roman" w:cs="Times New Roman"/>
              <w:sz w:val="16"/>
              <w:szCs w:val="16"/>
            </w:rPr>
          </w:pPr>
          <w:r w:rsidRPr="00FA47F3">
            <w:rPr>
              <w:rFonts w:ascii="Times New Roman" w:hAnsi="Times New Roman" w:cs="Times New Roman"/>
              <w:sz w:val="16"/>
              <w:szCs w:val="16"/>
            </w:rPr>
            <w:t>Daniela Monteiro Trevizani</w:t>
          </w:r>
        </w:p>
      </w:tc>
      <w:tc>
        <w:tcPr>
          <w:tcW w:w="1347" w:type="dxa"/>
          <w:gridSpan w:val="2"/>
        </w:tcPr>
        <w:p w14:paraId="3FBB23A3" w14:textId="010D2AE6" w:rsidR="00ED62A5" w:rsidRPr="00FA47F3" w:rsidRDefault="00ED62A5" w:rsidP="00ED62A5">
          <w:pPr>
            <w:pStyle w:val="Rodap"/>
            <w:jc w:val="center"/>
            <w:rPr>
              <w:rFonts w:ascii="Times New Roman" w:hAnsi="Times New Roman" w:cs="Times New Roman"/>
              <w:sz w:val="16"/>
              <w:szCs w:val="16"/>
            </w:rPr>
          </w:pPr>
          <w:r w:rsidRPr="00FA47F3">
            <w:rPr>
              <w:rFonts w:ascii="Times New Roman" w:hAnsi="Times New Roman" w:cs="Times New Roman"/>
              <w:sz w:val="16"/>
              <w:szCs w:val="16"/>
            </w:rPr>
            <w:t>Marcos Vinícius Lourenço</w:t>
          </w:r>
        </w:p>
      </w:tc>
      <w:tc>
        <w:tcPr>
          <w:tcW w:w="2099" w:type="dxa"/>
        </w:tcPr>
        <w:p w14:paraId="0953046D" w14:textId="71336ADB" w:rsidR="00ED62A5" w:rsidRPr="00FA47F3" w:rsidRDefault="00ED62A5" w:rsidP="00ED62A5">
          <w:pPr>
            <w:pStyle w:val="Rodap"/>
            <w:jc w:val="center"/>
            <w:rPr>
              <w:rFonts w:ascii="Times New Roman" w:hAnsi="Times New Roman" w:cs="Times New Roman"/>
              <w:sz w:val="16"/>
              <w:szCs w:val="16"/>
            </w:rPr>
          </w:pPr>
          <w:r w:rsidRPr="00FA47F3">
            <w:rPr>
              <w:rFonts w:ascii="Times New Roman" w:hAnsi="Times New Roman" w:cs="Times New Roman"/>
              <w:sz w:val="16"/>
              <w:szCs w:val="16"/>
            </w:rPr>
            <w:t>Conselho de Administração</w:t>
          </w:r>
        </w:p>
      </w:tc>
    </w:tr>
  </w:tbl>
  <w:p w14:paraId="7E8DFD4B" w14:textId="77777777" w:rsidR="00EC6638" w:rsidRDefault="00EC663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Look w:val="04A0" w:firstRow="1" w:lastRow="0" w:firstColumn="1" w:lastColumn="0" w:noHBand="0" w:noVBand="1"/>
    </w:tblPr>
    <w:tblGrid>
      <w:gridCol w:w="2831"/>
      <w:gridCol w:w="3968"/>
      <w:gridCol w:w="1695"/>
    </w:tblGrid>
    <w:tr w:rsidR="00552AD8" w:rsidRPr="00036875" w14:paraId="7134E3A6" w14:textId="77777777" w:rsidTr="000024A8">
      <w:trPr>
        <w:jc w:val="center"/>
      </w:trPr>
      <w:tc>
        <w:tcPr>
          <w:tcW w:w="2831" w:type="dxa"/>
          <w:vMerge w:val="restart"/>
        </w:tcPr>
        <w:p w14:paraId="5802C2CC" w14:textId="78E67A43" w:rsidR="00FC735D" w:rsidRPr="00036875" w:rsidRDefault="00FE3492" w:rsidP="00FC735D">
          <w:pPr>
            <w:pStyle w:val="Cabealho"/>
            <w:rPr>
              <w:rFonts w:ascii="Times New Roman" w:hAnsi="Times New Roman" w:cs="Times New Roman"/>
              <w:sz w:val="24"/>
              <w:szCs w:val="24"/>
            </w:rPr>
          </w:pPr>
          <w:bookmarkStart w:id="2" w:name="_Hlk115700080"/>
          <w:r>
            <w:rPr>
              <w:noProof/>
            </w:rPr>
            <mc:AlternateContent>
              <mc:Choice Requires="wps">
                <w:drawing>
                  <wp:anchor distT="0" distB="0" distL="0" distR="0" simplePos="0" relativeHeight="251658240" behindDoc="0" locked="0" layoutInCell="1" allowOverlap="1" wp14:anchorId="3CED501B" wp14:editId="3791FD9F">
                    <wp:simplePos x="635" y="635"/>
                    <wp:positionH relativeFrom="page">
                      <wp:align>left</wp:align>
                    </wp:positionH>
                    <wp:positionV relativeFrom="page">
                      <wp:align>top</wp:align>
                    </wp:positionV>
                    <wp:extent cx="632460" cy="357505"/>
                    <wp:effectExtent l="0" t="0" r="15240" b="4445"/>
                    <wp:wrapNone/>
                    <wp:docPr id="1966800771"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0C780A8D" w14:textId="74397220"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D501B" id="_x0000_t202" coordsize="21600,21600" o:spt="202" path="m,l,21600r21600,l21600,xe">
                    <v:stroke joinstyle="miter"/>
                    <v:path gradientshapeok="t" o:connecttype="rect"/>
                  </v:shapetype>
                  <v:shape id="Caixa de Texto 1" o:spid="_x0000_s1030" type="#_x0000_t202" alt="Público" style="position:absolute;margin-left:0;margin-top:0;width:49.8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wEgIAACEEAAAOAAAAZHJzL2Uyb0RvYy54bWysU11v2jAUfZ+0/2D5fSRQYFtEqFgrpkmo&#10;rUSrPhvHJpFsX8s2JOzX79ohsHV9mvbi3K9c33vO8eK204ochfMNmJKORzklwnCoGrMv6cvz+tMX&#10;SnxgpmIKjCjpSXh6u/z4YdHaQkygBlUJR7CJ8UVrS1qHYIss87wWmvkRWGEwKcFpFtB1+6xyrMXu&#10;WmWTPJ9nLbjKOuDCe4ze90m6TP2lFDw8SulFIKqkOFtIp0vnLp7ZcsGKvWO2bvh5DPYPU2jWGLz0&#10;0uqeBUYOrvmrlW64Aw8yjDjoDKRsuEg74Dbj/M0225pZkXZBcLy9wOT/X1v+cNzaJ0dC9w06JDAC&#10;0lpfeAzGfTrpdPzipATzCOHpApvoAuEYnN9MpnPMcEzdzD7P8lnskl1/ts6H7wI0iUZJHbKSwGLH&#10;jQ996VAS7zKwbpRKzCjzRwB7xkh2nTBaodt1pKlKOh2m30F1wqUc9Hx7y9cNXr1hPjwxhwTjtCja&#10;8IiHVNCWFM4WJTW4n+/FYz3ijllKWhRMSQ0qmhL1wyAfk9k0z6PAkjf+ms+i55KHxm4wzEHfAWpx&#10;jM/C8mTGuqAGUzrQr6jpVbwNU8xwvLOkYTDvQi9ffBNcrFapCLVkWdiYreWxdcQsAvrcvTJnz6gH&#10;pOsBBkmx4g34fW3809vVISAFiZmIb4/mGXbUYeL2/Gai0H/3U9X1ZS9/AQAA//8DAFBLAwQUAAYA&#10;CAAAACEA1i7mWtsAAAADAQAADwAAAGRycy9kb3ducmV2LnhtbEyPS0vEQBCE74L/YWjBmzvxscGN&#10;mSwiCAoui+ui19lM54GZnpCebOK/t/Wil4aiiqqv8/XsO3XEgdtABi4XCSikMriWagP7t8eLW1Ac&#10;LTnbBUIDX8iwLk5Pcpu5MNErHnexVlJCnFkDTYx9pjWXDXrLi9AjiVeFwdsocqi1G+wk5b7TV0mS&#10;am9bkoXG9vjQYPm5G72Bpxv+iGNVLXnzspmS58nvx+27Medn8/0dqIhz/AvDD76gQyFMhzCSY9UZ&#10;kEfi7xVvtUpBHQws02vQRa7/sxffAAAA//8DAFBLAQItABQABgAIAAAAIQC2gziS/gAAAOEBAAAT&#10;AAAAAAAAAAAAAAAAAAAAAABbQ29udGVudF9UeXBlc10ueG1sUEsBAi0AFAAGAAgAAAAhADj9If/W&#10;AAAAlAEAAAsAAAAAAAAAAAAAAAAALwEAAF9yZWxzLy5yZWxzUEsBAi0AFAAGAAgAAAAhABefNjAS&#10;AgAAIQQAAA4AAAAAAAAAAAAAAAAALgIAAGRycy9lMm9Eb2MueG1sUEsBAi0AFAAGAAgAAAAhANYu&#10;5lrbAAAAAwEAAA8AAAAAAAAAAAAAAAAAbAQAAGRycy9kb3ducmV2LnhtbFBLBQYAAAAABAAEAPMA&#10;AAB0BQAAAAA=&#10;" filled="f" stroked="f">
                    <v:textbox style="mso-fit-shape-to-text:t" inset="20pt,15pt,0,0">
                      <w:txbxContent>
                        <w:p w14:paraId="0C780A8D" w14:textId="74397220" w:rsidR="00FE3492" w:rsidRPr="00FE3492" w:rsidRDefault="00FE3492" w:rsidP="00FE3492">
                          <w:pPr>
                            <w:spacing w:after="0"/>
                            <w:rPr>
                              <w:rFonts w:ascii="Calibri" w:eastAsia="Calibri" w:hAnsi="Calibri" w:cs="Calibri"/>
                              <w:noProof/>
                              <w:color w:val="000000"/>
                              <w:sz w:val="20"/>
                              <w:szCs w:val="20"/>
                            </w:rPr>
                          </w:pPr>
                          <w:r w:rsidRPr="00FE3492">
                            <w:rPr>
                              <w:rFonts w:ascii="Calibri" w:eastAsia="Calibri" w:hAnsi="Calibri" w:cs="Calibri"/>
                              <w:noProof/>
                              <w:color w:val="000000"/>
                              <w:sz w:val="20"/>
                              <w:szCs w:val="20"/>
                            </w:rPr>
                            <w:t>Público</w:t>
                          </w:r>
                        </w:p>
                      </w:txbxContent>
                    </v:textbox>
                    <w10:wrap anchorx="page" anchory="page"/>
                  </v:shape>
                </w:pict>
              </mc:Fallback>
            </mc:AlternateContent>
          </w:r>
          <w:r w:rsidR="00552AD8">
            <w:rPr>
              <w:noProof/>
            </w:rPr>
            <w:drawing>
              <wp:inline distT="0" distB="0" distL="0" distR="0" wp14:anchorId="791148BE" wp14:editId="2720AB7E">
                <wp:extent cx="1612900" cy="412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12750"/>
                        </a:xfrm>
                        <a:prstGeom prst="rect">
                          <a:avLst/>
                        </a:prstGeom>
                        <a:noFill/>
                        <a:ln>
                          <a:noFill/>
                        </a:ln>
                      </pic:spPr>
                    </pic:pic>
                  </a:graphicData>
                </a:graphic>
              </wp:inline>
            </w:drawing>
          </w:r>
        </w:p>
      </w:tc>
      <w:tc>
        <w:tcPr>
          <w:tcW w:w="3968" w:type="dxa"/>
          <w:vMerge w:val="restart"/>
          <w:vAlign w:val="center"/>
        </w:tcPr>
        <w:p w14:paraId="7CF8015E" w14:textId="77777777" w:rsidR="00FC735D" w:rsidRPr="00BC4293" w:rsidRDefault="00BC4293" w:rsidP="000024A8">
          <w:pPr>
            <w:pStyle w:val="Cabealho"/>
            <w:jc w:val="center"/>
            <w:rPr>
              <w:rFonts w:ascii="Times New Roman" w:hAnsi="Times New Roman" w:cs="Times New Roman"/>
              <w:b/>
              <w:sz w:val="24"/>
              <w:szCs w:val="24"/>
            </w:rPr>
          </w:pPr>
          <w:r w:rsidRPr="00BC4293">
            <w:rPr>
              <w:rFonts w:ascii="Times New Roman" w:hAnsi="Times New Roman" w:cs="Times New Roman"/>
              <w:b/>
              <w:sz w:val="24"/>
              <w:szCs w:val="24"/>
            </w:rPr>
            <w:t>GESTÃO DE DOCUMENTOS NORMATIVOS</w:t>
          </w:r>
        </w:p>
      </w:tc>
      <w:tc>
        <w:tcPr>
          <w:tcW w:w="1695" w:type="dxa"/>
        </w:tcPr>
        <w:p w14:paraId="51597D9D"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CON 001</w:t>
          </w:r>
        </w:p>
      </w:tc>
    </w:tr>
    <w:tr w:rsidR="00552AD8" w:rsidRPr="00036875" w14:paraId="3A54794A" w14:textId="77777777" w:rsidTr="000024A8">
      <w:trPr>
        <w:jc w:val="center"/>
      </w:trPr>
      <w:tc>
        <w:tcPr>
          <w:tcW w:w="2831" w:type="dxa"/>
          <w:vMerge/>
        </w:tcPr>
        <w:p w14:paraId="150E3B90"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5E0FB849"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1C1DB278"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D</w:t>
          </w:r>
          <w:r w:rsidR="00036875" w:rsidRPr="000024A8">
            <w:rPr>
              <w:rFonts w:ascii="Times New Roman" w:hAnsi="Times New Roman" w:cs="Times New Roman"/>
              <w:sz w:val="20"/>
              <w:szCs w:val="20"/>
            </w:rPr>
            <w:t>ata</w:t>
          </w:r>
          <w:r w:rsidRPr="000024A8">
            <w:rPr>
              <w:rFonts w:ascii="Times New Roman" w:hAnsi="Times New Roman" w:cs="Times New Roman"/>
              <w:sz w:val="20"/>
              <w:szCs w:val="20"/>
            </w:rPr>
            <w:t xml:space="preserve">: </w:t>
          </w:r>
          <w:r w:rsidR="008156B5">
            <w:rPr>
              <w:rFonts w:ascii="Times New Roman" w:hAnsi="Times New Roman" w:cs="Times New Roman"/>
              <w:sz w:val="20"/>
              <w:szCs w:val="20"/>
            </w:rPr>
            <w:t>31</w:t>
          </w:r>
          <w:r w:rsidRPr="000024A8">
            <w:rPr>
              <w:rFonts w:ascii="Times New Roman" w:hAnsi="Times New Roman" w:cs="Times New Roman"/>
              <w:sz w:val="20"/>
              <w:szCs w:val="20"/>
            </w:rPr>
            <w:t>/</w:t>
          </w:r>
          <w:r w:rsidR="008156B5">
            <w:rPr>
              <w:rFonts w:ascii="Times New Roman" w:hAnsi="Times New Roman" w:cs="Times New Roman"/>
              <w:sz w:val="20"/>
              <w:szCs w:val="20"/>
            </w:rPr>
            <w:t>10</w:t>
          </w:r>
          <w:r w:rsidRPr="000024A8">
            <w:rPr>
              <w:rFonts w:ascii="Times New Roman" w:hAnsi="Times New Roman" w:cs="Times New Roman"/>
              <w:sz w:val="20"/>
              <w:szCs w:val="20"/>
            </w:rPr>
            <w:t>/2022</w:t>
          </w:r>
        </w:p>
      </w:tc>
    </w:tr>
    <w:tr w:rsidR="00552AD8" w:rsidRPr="00036875" w14:paraId="2C710536" w14:textId="77777777" w:rsidTr="000024A8">
      <w:trPr>
        <w:jc w:val="center"/>
      </w:trPr>
      <w:tc>
        <w:tcPr>
          <w:tcW w:w="2831" w:type="dxa"/>
          <w:vMerge/>
        </w:tcPr>
        <w:p w14:paraId="55BDE19A"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7084A2FD"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2B6DC025"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Versão</w:t>
          </w:r>
          <w:r w:rsidR="00036875" w:rsidRPr="000024A8">
            <w:rPr>
              <w:rFonts w:ascii="Times New Roman" w:hAnsi="Times New Roman" w:cs="Times New Roman"/>
              <w:sz w:val="20"/>
              <w:szCs w:val="20"/>
            </w:rPr>
            <w:t>:</w:t>
          </w:r>
          <w:r w:rsidRPr="000024A8">
            <w:rPr>
              <w:rFonts w:ascii="Times New Roman" w:hAnsi="Times New Roman" w:cs="Times New Roman"/>
              <w:sz w:val="20"/>
              <w:szCs w:val="20"/>
            </w:rPr>
            <w:t xml:space="preserve"> 01</w:t>
          </w:r>
        </w:p>
      </w:tc>
    </w:tr>
    <w:bookmarkEnd w:id="2"/>
  </w:tbl>
  <w:p w14:paraId="06E1C42F" w14:textId="77777777" w:rsidR="00FC735D" w:rsidRPr="00FC735D" w:rsidRDefault="00FC735D" w:rsidP="00FC73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92138"/>
    <w:multiLevelType w:val="hybridMultilevel"/>
    <w:tmpl w:val="62246C3C"/>
    <w:lvl w:ilvl="0" w:tplc="B3F449DC">
      <w:start w:val="1"/>
      <w:numFmt w:val="lowerRoman"/>
      <w:lvlText w:val="(%1)"/>
      <w:lvlJc w:val="left"/>
      <w:pPr>
        <w:ind w:left="1506" w:hanging="1080"/>
      </w:pPr>
      <w:rPr>
        <w:b/>
        <w:bCs w:val="0"/>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2A292DF9"/>
    <w:multiLevelType w:val="hybridMultilevel"/>
    <w:tmpl w:val="6B6C97EC"/>
    <w:lvl w:ilvl="0" w:tplc="041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6AD529C"/>
    <w:multiLevelType w:val="hybridMultilevel"/>
    <w:tmpl w:val="1B084880"/>
    <w:lvl w:ilvl="0" w:tplc="BF549E20">
      <w:start w:val="1"/>
      <w:numFmt w:val="lowerRoman"/>
      <w:lvlText w:val="(%1)"/>
      <w:lvlJc w:val="left"/>
      <w:pPr>
        <w:ind w:left="2520" w:hanging="720"/>
      </w:pPr>
      <w:rPr>
        <w:b/>
        <w:bCs w:val="0"/>
      </w:rPr>
    </w:lvl>
    <w:lvl w:ilvl="1" w:tplc="04160019">
      <w:start w:val="1"/>
      <w:numFmt w:val="lowerLetter"/>
      <w:lvlText w:val="%2."/>
      <w:lvlJc w:val="left"/>
      <w:pPr>
        <w:ind w:left="2880" w:hanging="360"/>
      </w:pPr>
    </w:lvl>
    <w:lvl w:ilvl="2" w:tplc="0416001B">
      <w:start w:val="1"/>
      <w:numFmt w:val="lowerRoman"/>
      <w:lvlText w:val="%3."/>
      <w:lvlJc w:val="right"/>
      <w:pPr>
        <w:ind w:left="3600" w:hanging="180"/>
      </w:pPr>
    </w:lvl>
    <w:lvl w:ilvl="3" w:tplc="0416000F">
      <w:start w:val="1"/>
      <w:numFmt w:val="decimal"/>
      <w:lvlText w:val="%4."/>
      <w:lvlJc w:val="left"/>
      <w:pPr>
        <w:ind w:left="4320" w:hanging="360"/>
      </w:pPr>
    </w:lvl>
    <w:lvl w:ilvl="4" w:tplc="04160019">
      <w:start w:val="1"/>
      <w:numFmt w:val="lowerLetter"/>
      <w:lvlText w:val="%5."/>
      <w:lvlJc w:val="left"/>
      <w:pPr>
        <w:ind w:left="5040" w:hanging="360"/>
      </w:pPr>
    </w:lvl>
    <w:lvl w:ilvl="5" w:tplc="0416001B">
      <w:start w:val="1"/>
      <w:numFmt w:val="lowerRoman"/>
      <w:lvlText w:val="%6."/>
      <w:lvlJc w:val="right"/>
      <w:pPr>
        <w:ind w:left="5760" w:hanging="180"/>
      </w:pPr>
    </w:lvl>
    <w:lvl w:ilvl="6" w:tplc="0416000F">
      <w:start w:val="1"/>
      <w:numFmt w:val="decimal"/>
      <w:lvlText w:val="%7."/>
      <w:lvlJc w:val="left"/>
      <w:pPr>
        <w:ind w:left="6480" w:hanging="360"/>
      </w:pPr>
    </w:lvl>
    <w:lvl w:ilvl="7" w:tplc="04160019">
      <w:start w:val="1"/>
      <w:numFmt w:val="lowerLetter"/>
      <w:lvlText w:val="%8."/>
      <w:lvlJc w:val="left"/>
      <w:pPr>
        <w:ind w:left="7200" w:hanging="360"/>
      </w:pPr>
    </w:lvl>
    <w:lvl w:ilvl="8" w:tplc="0416001B">
      <w:start w:val="1"/>
      <w:numFmt w:val="lowerRoman"/>
      <w:lvlText w:val="%9."/>
      <w:lvlJc w:val="right"/>
      <w:pPr>
        <w:ind w:left="7920" w:hanging="180"/>
      </w:pPr>
    </w:lvl>
  </w:abstractNum>
  <w:abstractNum w:abstractNumId="3" w15:restartNumberingAfterBreak="0">
    <w:nsid w:val="46660AED"/>
    <w:multiLevelType w:val="hybridMultilevel"/>
    <w:tmpl w:val="47A2998E"/>
    <w:lvl w:ilvl="0" w:tplc="FF9239C2">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7181CF1"/>
    <w:multiLevelType w:val="hybridMultilevel"/>
    <w:tmpl w:val="ECE46588"/>
    <w:lvl w:ilvl="0" w:tplc="9B22F04C">
      <w:start w:val="1"/>
      <w:numFmt w:val="lowerRoman"/>
      <w:lvlText w:val="(%1)"/>
      <w:lvlJc w:val="left"/>
      <w:pPr>
        <w:ind w:left="1080" w:hanging="72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9E57EF4"/>
    <w:multiLevelType w:val="hybridMultilevel"/>
    <w:tmpl w:val="DCF43D1E"/>
    <w:lvl w:ilvl="0" w:tplc="2AE020DA">
      <w:start w:val="1"/>
      <w:numFmt w:val="lowerRoman"/>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C2E7ADA"/>
    <w:multiLevelType w:val="hybridMultilevel"/>
    <w:tmpl w:val="B300BD22"/>
    <w:lvl w:ilvl="0" w:tplc="4C2824B8">
      <w:start w:val="1"/>
      <w:numFmt w:val="lowerRoman"/>
      <w:lvlText w:val="(%1)"/>
      <w:lvlJc w:val="left"/>
      <w:pPr>
        <w:ind w:left="1080" w:hanging="360"/>
      </w:pPr>
      <w:rPr>
        <w:b/>
        <w:bCs/>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7" w15:restartNumberingAfterBreak="0">
    <w:nsid w:val="77F42CFF"/>
    <w:multiLevelType w:val="multilevel"/>
    <w:tmpl w:val="3A203CC6"/>
    <w:lvl w:ilvl="0">
      <w:start w:val="1"/>
      <w:numFmt w:val="decimal"/>
      <w:lvlText w:val="%1."/>
      <w:lvlJc w:val="left"/>
      <w:pPr>
        <w:ind w:left="720" w:hanging="360"/>
      </w:pPr>
      <w:rPr>
        <w:b/>
        <w:bCs/>
      </w:r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num w:numId="1" w16cid:durableId="772170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76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5261837">
    <w:abstractNumId w:val="1"/>
  </w:num>
  <w:num w:numId="4" w16cid:durableId="1237402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991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8101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8388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512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96"/>
    <w:rsid w:val="00001AA1"/>
    <w:rsid w:val="000024A8"/>
    <w:rsid w:val="000113AF"/>
    <w:rsid w:val="0001265C"/>
    <w:rsid w:val="00012BA3"/>
    <w:rsid w:val="00015409"/>
    <w:rsid w:val="000164CA"/>
    <w:rsid w:val="00021FC5"/>
    <w:rsid w:val="00022459"/>
    <w:rsid w:val="000229FF"/>
    <w:rsid w:val="00022FF8"/>
    <w:rsid w:val="00023C02"/>
    <w:rsid w:val="00024DDC"/>
    <w:rsid w:val="00025BCF"/>
    <w:rsid w:val="00026309"/>
    <w:rsid w:val="00030E8A"/>
    <w:rsid w:val="000311F1"/>
    <w:rsid w:val="00031F2C"/>
    <w:rsid w:val="00032314"/>
    <w:rsid w:val="0003234F"/>
    <w:rsid w:val="00033458"/>
    <w:rsid w:val="00033843"/>
    <w:rsid w:val="00036875"/>
    <w:rsid w:val="00036C77"/>
    <w:rsid w:val="00040A5B"/>
    <w:rsid w:val="000443E6"/>
    <w:rsid w:val="00044828"/>
    <w:rsid w:val="00044866"/>
    <w:rsid w:val="00045DB6"/>
    <w:rsid w:val="00050C4A"/>
    <w:rsid w:val="00052094"/>
    <w:rsid w:val="00055507"/>
    <w:rsid w:val="00061ABA"/>
    <w:rsid w:val="000662CC"/>
    <w:rsid w:val="00073970"/>
    <w:rsid w:val="00075AC0"/>
    <w:rsid w:val="00075CF0"/>
    <w:rsid w:val="00080984"/>
    <w:rsid w:val="00082F2A"/>
    <w:rsid w:val="000863F3"/>
    <w:rsid w:val="0008683E"/>
    <w:rsid w:val="000875FF"/>
    <w:rsid w:val="00090F52"/>
    <w:rsid w:val="0009231F"/>
    <w:rsid w:val="00092B47"/>
    <w:rsid w:val="000959CA"/>
    <w:rsid w:val="000959FA"/>
    <w:rsid w:val="00095FD0"/>
    <w:rsid w:val="000A7796"/>
    <w:rsid w:val="000B13B1"/>
    <w:rsid w:val="000B506B"/>
    <w:rsid w:val="000B52B8"/>
    <w:rsid w:val="000C1376"/>
    <w:rsid w:val="000C1C5E"/>
    <w:rsid w:val="000C29D5"/>
    <w:rsid w:val="000C5470"/>
    <w:rsid w:val="000C6DF1"/>
    <w:rsid w:val="000D071D"/>
    <w:rsid w:val="000D0831"/>
    <w:rsid w:val="000D110B"/>
    <w:rsid w:val="000D28A2"/>
    <w:rsid w:val="000D3392"/>
    <w:rsid w:val="000D5341"/>
    <w:rsid w:val="000D6BF1"/>
    <w:rsid w:val="000D6F41"/>
    <w:rsid w:val="000E0650"/>
    <w:rsid w:val="000E346C"/>
    <w:rsid w:val="000E3C50"/>
    <w:rsid w:val="000E6E69"/>
    <w:rsid w:val="000F0205"/>
    <w:rsid w:val="000F1E73"/>
    <w:rsid w:val="000F55C2"/>
    <w:rsid w:val="000F57DA"/>
    <w:rsid w:val="000F739A"/>
    <w:rsid w:val="00100213"/>
    <w:rsid w:val="0010779A"/>
    <w:rsid w:val="001166A1"/>
    <w:rsid w:val="00121ACE"/>
    <w:rsid w:val="00126E85"/>
    <w:rsid w:val="00130BEB"/>
    <w:rsid w:val="001313C0"/>
    <w:rsid w:val="0013238F"/>
    <w:rsid w:val="0013663E"/>
    <w:rsid w:val="00143B93"/>
    <w:rsid w:val="00144136"/>
    <w:rsid w:val="00150139"/>
    <w:rsid w:val="00153F6D"/>
    <w:rsid w:val="00157D59"/>
    <w:rsid w:val="001613E6"/>
    <w:rsid w:val="00161E08"/>
    <w:rsid w:val="0016349C"/>
    <w:rsid w:val="00164247"/>
    <w:rsid w:val="0016460B"/>
    <w:rsid w:val="001661A3"/>
    <w:rsid w:val="001666BC"/>
    <w:rsid w:val="00167D49"/>
    <w:rsid w:val="00171039"/>
    <w:rsid w:val="001710B9"/>
    <w:rsid w:val="00171CE2"/>
    <w:rsid w:val="00172B0C"/>
    <w:rsid w:val="00180439"/>
    <w:rsid w:val="00180641"/>
    <w:rsid w:val="00186406"/>
    <w:rsid w:val="00191B4E"/>
    <w:rsid w:val="00191BBC"/>
    <w:rsid w:val="001962D1"/>
    <w:rsid w:val="001A0E64"/>
    <w:rsid w:val="001A1D13"/>
    <w:rsid w:val="001A4E46"/>
    <w:rsid w:val="001A5280"/>
    <w:rsid w:val="001A5555"/>
    <w:rsid w:val="001A622C"/>
    <w:rsid w:val="001B377C"/>
    <w:rsid w:val="001B540E"/>
    <w:rsid w:val="001B58B4"/>
    <w:rsid w:val="001C0FC9"/>
    <w:rsid w:val="001C433E"/>
    <w:rsid w:val="001C4F96"/>
    <w:rsid w:val="001C6560"/>
    <w:rsid w:val="001C7C3E"/>
    <w:rsid w:val="001D0C5E"/>
    <w:rsid w:val="001D1858"/>
    <w:rsid w:val="001E1321"/>
    <w:rsid w:val="001E25C0"/>
    <w:rsid w:val="001E4D7F"/>
    <w:rsid w:val="001E66E1"/>
    <w:rsid w:val="00202BEA"/>
    <w:rsid w:val="00211A67"/>
    <w:rsid w:val="00221BA3"/>
    <w:rsid w:val="0022296B"/>
    <w:rsid w:val="002234BA"/>
    <w:rsid w:val="00227827"/>
    <w:rsid w:val="00230150"/>
    <w:rsid w:val="00232B4E"/>
    <w:rsid w:val="0023380D"/>
    <w:rsid w:val="002374AD"/>
    <w:rsid w:val="00242856"/>
    <w:rsid w:val="002431BC"/>
    <w:rsid w:val="00243565"/>
    <w:rsid w:val="002451C8"/>
    <w:rsid w:val="00246037"/>
    <w:rsid w:val="00250122"/>
    <w:rsid w:val="0025080F"/>
    <w:rsid w:val="002621D5"/>
    <w:rsid w:val="00265366"/>
    <w:rsid w:val="0026550B"/>
    <w:rsid w:val="00265A0C"/>
    <w:rsid w:val="00267FED"/>
    <w:rsid w:val="002802FA"/>
    <w:rsid w:val="00281036"/>
    <w:rsid w:val="002863EE"/>
    <w:rsid w:val="00286E36"/>
    <w:rsid w:val="00287EE8"/>
    <w:rsid w:val="0029086F"/>
    <w:rsid w:val="00290D25"/>
    <w:rsid w:val="0029293F"/>
    <w:rsid w:val="00296DCA"/>
    <w:rsid w:val="002A18B3"/>
    <w:rsid w:val="002B1EE0"/>
    <w:rsid w:val="002B3618"/>
    <w:rsid w:val="002C37E2"/>
    <w:rsid w:val="002C5475"/>
    <w:rsid w:val="002C6B7D"/>
    <w:rsid w:val="002D0687"/>
    <w:rsid w:val="002D3314"/>
    <w:rsid w:val="002E1C86"/>
    <w:rsid w:val="002E39C7"/>
    <w:rsid w:val="002E462E"/>
    <w:rsid w:val="002E48F3"/>
    <w:rsid w:val="002F0183"/>
    <w:rsid w:val="002F0CBF"/>
    <w:rsid w:val="002F7468"/>
    <w:rsid w:val="0030187F"/>
    <w:rsid w:val="0030339F"/>
    <w:rsid w:val="003048C6"/>
    <w:rsid w:val="00305EFA"/>
    <w:rsid w:val="00306259"/>
    <w:rsid w:val="00310623"/>
    <w:rsid w:val="00311D2A"/>
    <w:rsid w:val="0032498A"/>
    <w:rsid w:val="00331AFF"/>
    <w:rsid w:val="00332145"/>
    <w:rsid w:val="00337C33"/>
    <w:rsid w:val="00340CEF"/>
    <w:rsid w:val="00342134"/>
    <w:rsid w:val="00343A21"/>
    <w:rsid w:val="00344315"/>
    <w:rsid w:val="00351AAC"/>
    <w:rsid w:val="0035642A"/>
    <w:rsid w:val="00357728"/>
    <w:rsid w:val="0036002F"/>
    <w:rsid w:val="00360600"/>
    <w:rsid w:val="00362A74"/>
    <w:rsid w:val="00362E57"/>
    <w:rsid w:val="003675AA"/>
    <w:rsid w:val="00367F73"/>
    <w:rsid w:val="00377918"/>
    <w:rsid w:val="0038091C"/>
    <w:rsid w:val="003812E6"/>
    <w:rsid w:val="00381A8C"/>
    <w:rsid w:val="00383EFE"/>
    <w:rsid w:val="00384C26"/>
    <w:rsid w:val="00390705"/>
    <w:rsid w:val="00391889"/>
    <w:rsid w:val="00395064"/>
    <w:rsid w:val="0039781B"/>
    <w:rsid w:val="00397C23"/>
    <w:rsid w:val="00397EEE"/>
    <w:rsid w:val="003A0C62"/>
    <w:rsid w:val="003B2810"/>
    <w:rsid w:val="003B594A"/>
    <w:rsid w:val="003B7219"/>
    <w:rsid w:val="003C4E98"/>
    <w:rsid w:val="003C5B4B"/>
    <w:rsid w:val="003C7BBF"/>
    <w:rsid w:val="003D1EED"/>
    <w:rsid w:val="003D386D"/>
    <w:rsid w:val="003E11C1"/>
    <w:rsid w:val="003E23E7"/>
    <w:rsid w:val="003E3ACB"/>
    <w:rsid w:val="003E3C00"/>
    <w:rsid w:val="003F252D"/>
    <w:rsid w:val="004001C5"/>
    <w:rsid w:val="00401B9B"/>
    <w:rsid w:val="00407718"/>
    <w:rsid w:val="00407877"/>
    <w:rsid w:val="00410AAF"/>
    <w:rsid w:val="0041129F"/>
    <w:rsid w:val="004124EC"/>
    <w:rsid w:val="00414791"/>
    <w:rsid w:val="004163CB"/>
    <w:rsid w:val="00417885"/>
    <w:rsid w:val="00417FAD"/>
    <w:rsid w:val="00420FE8"/>
    <w:rsid w:val="0042182E"/>
    <w:rsid w:val="0042374C"/>
    <w:rsid w:val="004237A7"/>
    <w:rsid w:val="004248CC"/>
    <w:rsid w:val="00426DBF"/>
    <w:rsid w:val="00426F0B"/>
    <w:rsid w:val="00431516"/>
    <w:rsid w:val="00440221"/>
    <w:rsid w:val="00441B3C"/>
    <w:rsid w:val="00443A0F"/>
    <w:rsid w:val="004442B4"/>
    <w:rsid w:val="00452335"/>
    <w:rsid w:val="004533B4"/>
    <w:rsid w:val="004570A3"/>
    <w:rsid w:val="00463E99"/>
    <w:rsid w:val="004646A0"/>
    <w:rsid w:val="0046671A"/>
    <w:rsid w:val="00466EF2"/>
    <w:rsid w:val="00467463"/>
    <w:rsid w:val="0047698B"/>
    <w:rsid w:val="00481830"/>
    <w:rsid w:val="004825C5"/>
    <w:rsid w:val="00484028"/>
    <w:rsid w:val="00486862"/>
    <w:rsid w:val="004868FE"/>
    <w:rsid w:val="004926CE"/>
    <w:rsid w:val="004A2605"/>
    <w:rsid w:val="004A7679"/>
    <w:rsid w:val="004B3078"/>
    <w:rsid w:val="004C1FB3"/>
    <w:rsid w:val="004C2DCA"/>
    <w:rsid w:val="004C3E93"/>
    <w:rsid w:val="004C466E"/>
    <w:rsid w:val="004D1079"/>
    <w:rsid w:val="004D3E7E"/>
    <w:rsid w:val="004D3EA3"/>
    <w:rsid w:val="004D5380"/>
    <w:rsid w:val="004D54C1"/>
    <w:rsid w:val="004D7E4B"/>
    <w:rsid w:val="004F1423"/>
    <w:rsid w:val="004F1AC3"/>
    <w:rsid w:val="004F2825"/>
    <w:rsid w:val="004F2851"/>
    <w:rsid w:val="004F50E4"/>
    <w:rsid w:val="00502A78"/>
    <w:rsid w:val="005048BD"/>
    <w:rsid w:val="00510CC5"/>
    <w:rsid w:val="0051489D"/>
    <w:rsid w:val="005173E8"/>
    <w:rsid w:val="00521D8D"/>
    <w:rsid w:val="00525B6C"/>
    <w:rsid w:val="00525DE7"/>
    <w:rsid w:val="0053598D"/>
    <w:rsid w:val="00541679"/>
    <w:rsid w:val="00542774"/>
    <w:rsid w:val="0055077D"/>
    <w:rsid w:val="00552AD8"/>
    <w:rsid w:val="00553A47"/>
    <w:rsid w:val="00564DB6"/>
    <w:rsid w:val="005653D8"/>
    <w:rsid w:val="00567B8B"/>
    <w:rsid w:val="00570402"/>
    <w:rsid w:val="00574E24"/>
    <w:rsid w:val="005773DE"/>
    <w:rsid w:val="005779BC"/>
    <w:rsid w:val="00581014"/>
    <w:rsid w:val="00586B16"/>
    <w:rsid w:val="00590BCA"/>
    <w:rsid w:val="005A2777"/>
    <w:rsid w:val="005B3FCF"/>
    <w:rsid w:val="005B434B"/>
    <w:rsid w:val="005B69C0"/>
    <w:rsid w:val="005B77CE"/>
    <w:rsid w:val="005C060E"/>
    <w:rsid w:val="005C532D"/>
    <w:rsid w:val="005C6F62"/>
    <w:rsid w:val="005C7591"/>
    <w:rsid w:val="005D575E"/>
    <w:rsid w:val="005D5BAD"/>
    <w:rsid w:val="005D65D8"/>
    <w:rsid w:val="005E155C"/>
    <w:rsid w:val="005E1EA4"/>
    <w:rsid w:val="005E5658"/>
    <w:rsid w:val="005E5745"/>
    <w:rsid w:val="005F05E5"/>
    <w:rsid w:val="005F3BE4"/>
    <w:rsid w:val="005F4A87"/>
    <w:rsid w:val="005F4F54"/>
    <w:rsid w:val="005F65D3"/>
    <w:rsid w:val="005F65E1"/>
    <w:rsid w:val="005F6B7B"/>
    <w:rsid w:val="005F6C0F"/>
    <w:rsid w:val="005F746C"/>
    <w:rsid w:val="00600FAD"/>
    <w:rsid w:val="00614141"/>
    <w:rsid w:val="00614695"/>
    <w:rsid w:val="006150F1"/>
    <w:rsid w:val="00615300"/>
    <w:rsid w:val="006217D7"/>
    <w:rsid w:val="0062284B"/>
    <w:rsid w:val="006235FE"/>
    <w:rsid w:val="00623771"/>
    <w:rsid w:val="0062408B"/>
    <w:rsid w:val="006269E9"/>
    <w:rsid w:val="0063309E"/>
    <w:rsid w:val="0063327F"/>
    <w:rsid w:val="00633A1F"/>
    <w:rsid w:val="00636963"/>
    <w:rsid w:val="00637D7F"/>
    <w:rsid w:val="00641707"/>
    <w:rsid w:val="00641DEB"/>
    <w:rsid w:val="00642E3F"/>
    <w:rsid w:val="00644F6A"/>
    <w:rsid w:val="00650694"/>
    <w:rsid w:val="006569F5"/>
    <w:rsid w:val="006608FF"/>
    <w:rsid w:val="00664A25"/>
    <w:rsid w:val="006677DB"/>
    <w:rsid w:val="00673B76"/>
    <w:rsid w:val="0067668F"/>
    <w:rsid w:val="0067752B"/>
    <w:rsid w:val="006777A2"/>
    <w:rsid w:val="006779DD"/>
    <w:rsid w:val="00683A8C"/>
    <w:rsid w:val="00685B38"/>
    <w:rsid w:val="006931FF"/>
    <w:rsid w:val="00693947"/>
    <w:rsid w:val="006A7ABA"/>
    <w:rsid w:val="006B04D5"/>
    <w:rsid w:val="006B1035"/>
    <w:rsid w:val="006B49AF"/>
    <w:rsid w:val="006C12C2"/>
    <w:rsid w:val="006C1FA5"/>
    <w:rsid w:val="006C2A8E"/>
    <w:rsid w:val="006D13B9"/>
    <w:rsid w:val="006D410A"/>
    <w:rsid w:val="006D5969"/>
    <w:rsid w:val="006D66DA"/>
    <w:rsid w:val="006E32B0"/>
    <w:rsid w:val="006E63C5"/>
    <w:rsid w:val="006E7F1A"/>
    <w:rsid w:val="006F46AE"/>
    <w:rsid w:val="006F5629"/>
    <w:rsid w:val="007108C6"/>
    <w:rsid w:val="00710F9A"/>
    <w:rsid w:val="00712F80"/>
    <w:rsid w:val="00713A77"/>
    <w:rsid w:val="007161C8"/>
    <w:rsid w:val="007174AE"/>
    <w:rsid w:val="00721D0D"/>
    <w:rsid w:val="007229DD"/>
    <w:rsid w:val="00722BB5"/>
    <w:rsid w:val="00722F5A"/>
    <w:rsid w:val="00723046"/>
    <w:rsid w:val="0072577B"/>
    <w:rsid w:val="007257A2"/>
    <w:rsid w:val="00730A9F"/>
    <w:rsid w:val="00731521"/>
    <w:rsid w:val="00732754"/>
    <w:rsid w:val="00733782"/>
    <w:rsid w:val="00735AC2"/>
    <w:rsid w:val="00741417"/>
    <w:rsid w:val="00742975"/>
    <w:rsid w:val="0074767A"/>
    <w:rsid w:val="00750E4E"/>
    <w:rsid w:val="007533C6"/>
    <w:rsid w:val="00755D66"/>
    <w:rsid w:val="00761146"/>
    <w:rsid w:val="0076589D"/>
    <w:rsid w:val="00767FC7"/>
    <w:rsid w:val="007714DB"/>
    <w:rsid w:val="00771CC6"/>
    <w:rsid w:val="007754A7"/>
    <w:rsid w:val="00775550"/>
    <w:rsid w:val="007804ED"/>
    <w:rsid w:val="00784A7F"/>
    <w:rsid w:val="007875B5"/>
    <w:rsid w:val="00792CDB"/>
    <w:rsid w:val="00792F12"/>
    <w:rsid w:val="00794125"/>
    <w:rsid w:val="0079511B"/>
    <w:rsid w:val="007974BB"/>
    <w:rsid w:val="007A5846"/>
    <w:rsid w:val="007A6963"/>
    <w:rsid w:val="007B14EF"/>
    <w:rsid w:val="007B2637"/>
    <w:rsid w:val="007B3921"/>
    <w:rsid w:val="007B3C99"/>
    <w:rsid w:val="007B3CD4"/>
    <w:rsid w:val="007C5755"/>
    <w:rsid w:val="007D4166"/>
    <w:rsid w:val="007D7B9A"/>
    <w:rsid w:val="007E5995"/>
    <w:rsid w:val="007F3CB4"/>
    <w:rsid w:val="007F5907"/>
    <w:rsid w:val="007F5957"/>
    <w:rsid w:val="00801533"/>
    <w:rsid w:val="00802AA3"/>
    <w:rsid w:val="0080374A"/>
    <w:rsid w:val="008058EC"/>
    <w:rsid w:val="0080627A"/>
    <w:rsid w:val="008067D1"/>
    <w:rsid w:val="00810940"/>
    <w:rsid w:val="0081117E"/>
    <w:rsid w:val="00812F98"/>
    <w:rsid w:val="008156B5"/>
    <w:rsid w:val="00820BC1"/>
    <w:rsid w:val="0082104F"/>
    <w:rsid w:val="008211E4"/>
    <w:rsid w:val="00825F97"/>
    <w:rsid w:val="00826577"/>
    <w:rsid w:val="0082799B"/>
    <w:rsid w:val="00831F95"/>
    <w:rsid w:val="00834BFF"/>
    <w:rsid w:val="00836F97"/>
    <w:rsid w:val="008401E6"/>
    <w:rsid w:val="008403E6"/>
    <w:rsid w:val="008474A9"/>
    <w:rsid w:val="00850179"/>
    <w:rsid w:val="00851081"/>
    <w:rsid w:val="008515C4"/>
    <w:rsid w:val="0085318C"/>
    <w:rsid w:val="0085483D"/>
    <w:rsid w:val="008577BC"/>
    <w:rsid w:val="00860AB3"/>
    <w:rsid w:val="00860F95"/>
    <w:rsid w:val="008647EF"/>
    <w:rsid w:val="008674C9"/>
    <w:rsid w:val="00876261"/>
    <w:rsid w:val="008817F5"/>
    <w:rsid w:val="00881E2D"/>
    <w:rsid w:val="008836CF"/>
    <w:rsid w:val="00885E26"/>
    <w:rsid w:val="0089042D"/>
    <w:rsid w:val="00893C64"/>
    <w:rsid w:val="0089418F"/>
    <w:rsid w:val="008A0176"/>
    <w:rsid w:val="008A01F4"/>
    <w:rsid w:val="008A0308"/>
    <w:rsid w:val="008A03B2"/>
    <w:rsid w:val="008A1A04"/>
    <w:rsid w:val="008A1F7F"/>
    <w:rsid w:val="008A2777"/>
    <w:rsid w:val="008A50C2"/>
    <w:rsid w:val="008A5BC4"/>
    <w:rsid w:val="008A63D9"/>
    <w:rsid w:val="008A6D7B"/>
    <w:rsid w:val="008B0172"/>
    <w:rsid w:val="008B21A8"/>
    <w:rsid w:val="008B28F5"/>
    <w:rsid w:val="008B31AD"/>
    <w:rsid w:val="008B3A9B"/>
    <w:rsid w:val="008B4EC1"/>
    <w:rsid w:val="008B53F7"/>
    <w:rsid w:val="008B7370"/>
    <w:rsid w:val="008C09A2"/>
    <w:rsid w:val="008C1DE1"/>
    <w:rsid w:val="008C2098"/>
    <w:rsid w:val="008C78BB"/>
    <w:rsid w:val="008D54E9"/>
    <w:rsid w:val="008D68AE"/>
    <w:rsid w:val="008E10C5"/>
    <w:rsid w:val="008E120C"/>
    <w:rsid w:val="008E156C"/>
    <w:rsid w:val="008F0F5B"/>
    <w:rsid w:val="008F21E4"/>
    <w:rsid w:val="008F25E5"/>
    <w:rsid w:val="008F2C64"/>
    <w:rsid w:val="008F4897"/>
    <w:rsid w:val="008F7DA8"/>
    <w:rsid w:val="00900742"/>
    <w:rsid w:val="009019B4"/>
    <w:rsid w:val="009063AE"/>
    <w:rsid w:val="00912954"/>
    <w:rsid w:val="00912EA5"/>
    <w:rsid w:val="00921D9F"/>
    <w:rsid w:val="009221AA"/>
    <w:rsid w:val="00924281"/>
    <w:rsid w:val="00926274"/>
    <w:rsid w:val="00926C3C"/>
    <w:rsid w:val="00935F38"/>
    <w:rsid w:val="009377BD"/>
    <w:rsid w:val="00941A33"/>
    <w:rsid w:val="00943B96"/>
    <w:rsid w:val="00946774"/>
    <w:rsid w:val="0094743A"/>
    <w:rsid w:val="009513E1"/>
    <w:rsid w:val="00951D3E"/>
    <w:rsid w:val="0095236C"/>
    <w:rsid w:val="00954137"/>
    <w:rsid w:val="009566F6"/>
    <w:rsid w:val="00956AEA"/>
    <w:rsid w:val="00957CC6"/>
    <w:rsid w:val="00962869"/>
    <w:rsid w:val="0096534B"/>
    <w:rsid w:val="00965A96"/>
    <w:rsid w:val="009670E1"/>
    <w:rsid w:val="00971331"/>
    <w:rsid w:val="009724D5"/>
    <w:rsid w:val="00975B32"/>
    <w:rsid w:val="00976FA4"/>
    <w:rsid w:val="00977C39"/>
    <w:rsid w:val="009809D0"/>
    <w:rsid w:val="00981655"/>
    <w:rsid w:val="00984E6C"/>
    <w:rsid w:val="00996F6B"/>
    <w:rsid w:val="00997138"/>
    <w:rsid w:val="009A140A"/>
    <w:rsid w:val="009A188A"/>
    <w:rsid w:val="009A1902"/>
    <w:rsid w:val="009A327A"/>
    <w:rsid w:val="009A73E2"/>
    <w:rsid w:val="009B07F2"/>
    <w:rsid w:val="009B25EB"/>
    <w:rsid w:val="009B2A59"/>
    <w:rsid w:val="009C075C"/>
    <w:rsid w:val="009D2B11"/>
    <w:rsid w:val="009D37C2"/>
    <w:rsid w:val="009D7350"/>
    <w:rsid w:val="009E21F8"/>
    <w:rsid w:val="009E2B56"/>
    <w:rsid w:val="009E501F"/>
    <w:rsid w:val="009E5595"/>
    <w:rsid w:val="009E61DF"/>
    <w:rsid w:val="009F1E8D"/>
    <w:rsid w:val="009F3283"/>
    <w:rsid w:val="009F5624"/>
    <w:rsid w:val="009F6B22"/>
    <w:rsid w:val="009F6CAE"/>
    <w:rsid w:val="00A04150"/>
    <w:rsid w:val="00A0624C"/>
    <w:rsid w:val="00A117A0"/>
    <w:rsid w:val="00A129EA"/>
    <w:rsid w:val="00A13040"/>
    <w:rsid w:val="00A1693E"/>
    <w:rsid w:val="00A20E2D"/>
    <w:rsid w:val="00A22942"/>
    <w:rsid w:val="00A2634C"/>
    <w:rsid w:val="00A32025"/>
    <w:rsid w:val="00A339A9"/>
    <w:rsid w:val="00A41DD3"/>
    <w:rsid w:val="00A4238A"/>
    <w:rsid w:val="00A43E9A"/>
    <w:rsid w:val="00A45F9F"/>
    <w:rsid w:val="00A4735F"/>
    <w:rsid w:val="00A51E4F"/>
    <w:rsid w:val="00A5259F"/>
    <w:rsid w:val="00A52850"/>
    <w:rsid w:val="00A54697"/>
    <w:rsid w:val="00A560F7"/>
    <w:rsid w:val="00A56A49"/>
    <w:rsid w:val="00A56F58"/>
    <w:rsid w:val="00A60DEE"/>
    <w:rsid w:val="00A61DAA"/>
    <w:rsid w:val="00A62B67"/>
    <w:rsid w:val="00A647E8"/>
    <w:rsid w:val="00A66A84"/>
    <w:rsid w:val="00A7047D"/>
    <w:rsid w:val="00A759AE"/>
    <w:rsid w:val="00A809E2"/>
    <w:rsid w:val="00A83113"/>
    <w:rsid w:val="00A87D43"/>
    <w:rsid w:val="00A9039F"/>
    <w:rsid w:val="00A91A49"/>
    <w:rsid w:val="00A91B57"/>
    <w:rsid w:val="00A94C94"/>
    <w:rsid w:val="00A97390"/>
    <w:rsid w:val="00AA3239"/>
    <w:rsid w:val="00AA3F04"/>
    <w:rsid w:val="00AC178A"/>
    <w:rsid w:val="00AC604A"/>
    <w:rsid w:val="00AD2654"/>
    <w:rsid w:val="00AD5567"/>
    <w:rsid w:val="00AD5574"/>
    <w:rsid w:val="00AD77C3"/>
    <w:rsid w:val="00AE05EB"/>
    <w:rsid w:val="00AE16F5"/>
    <w:rsid w:val="00AE1E30"/>
    <w:rsid w:val="00AE3AFB"/>
    <w:rsid w:val="00AE65E9"/>
    <w:rsid w:val="00AF2EC8"/>
    <w:rsid w:val="00AF6A6E"/>
    <w:rsid w:val="00B02684"/>
    <w:rsid w:val="00B0682D"/>
    <w:rsid w:val="00B12A4C"/>
    <w:rsid w:val="00B13C39"/>
    <w:rsid w:val="00B1534D"/>
    <w:rsid w:val="00B2576E"/>
    <w:rsid w:val="00B25982"/>
    <w:rsid w:val="00B263BC"/>
    <w:rsid w:val="00B323DC"/>
    <w:rsid w:val="00B3552E"/>
    <w:rsid w:val="00B45415"/>
    <w:rsid w:val="00B45646"/>
    <w:rsid w:val="00B467DF"/>
    <w:rsid w:val="00B468B6"/>
    <w:rsid w:val="00B46B14"/>
    <w:rsid w:val="00B472F9"/>
    <w:rsid w:val="00B53FC5"/>
    <w:rsid w:val="00B54D2F"/>
    <w:rsid w:val="00B550A3"/>
    <w:rsid w:val="00B60A6F"/>
    <w:rsid w:val="00B62323"/>
    <w:rsid w:val="00B63857"/>
    <w:rsid w:val="00B645AC"/>
    <w:rsid w:val="00B66223"/>
    <w:rsid w:val="00B67866"/>
    <w:rsid w:val="00B734D9"/>
    <w:rsid w:val="00B7380B"/>
    <w:rsid w:val="00B75518"/>
    <w:rsid w:val="00B7592C"/>
    <w:rsid w:val="00B77AB5"/>
    <w:rsid w:val="00B806B0"/>
    <w:rsid w:val="00B819E1"/>
    <w:rsid w:val="00B82143"/>
    <w:rsid w:val="00B90845"/>
    <w:rsid w:val="00B963C7"/>
    <w:rsid w:val="00B96D8E"/>
    <w:rsid w:val="00B97FA5"/>
    <w:rsid w:val="00BA4F08"/>
    <w:rsid w:val="00BA532E"/>
    <w:rsid w:val="00BA68D8"/>
    <w:rsid w:val="00BA7EC4"/>
    <w:rsid w:val="00BB0748"/>
    <w:rsid w:val="00BB17DC"/>
    <w:rsid w:val="00BB33D5"/>
    <w:rsid w:val="00BB5B58"/>
    <w:rsid w:val="00BB5F20"/>
    <w:rsid w:val="00BB64EF"/>
    <w:rsid w:val="00BB7B0F"/>
    <w:rsid w:val="00BC0E30"/>
    <w:rsid w:val="00BC2726"/>
    <w:rsid w:val="00BC4204"/>
    <w:rsid w:val="00BC4293"/>
    <w:rsid w:val="00BC685E"/>
    <w:rsid w:val="00BD0382"/>
    <w:rsid w:val="00BD090E"/>
    <w:rsid w:val="00BD0B50"/>
    <w:rsid w:val="00BD105D"/>
    <w:rsid w:val="00BD46A3"/>
    <w:rsid w:val="00BD7A1D"/>
    <w:rsid w:val="00BD7E71"/>
    <w:rsid w:val="00BE12F4"/>
    <w:rsid w:val="00BE13DC"/>
    <w:rsid w:val="00BE32BC"/>
    <w:rsid w:val="00BE390E"/>
    <w:rsid w:val="00BE3946"/>
    <w:rsid w:val="00BE3E58"/>
    <w:rsid w:val="00BF0166"/>
    <w:rsid w:val="00BF0DAB"/>
    <w:rsid w:val="00BF3DBE"/>
    <w:rsid w:val="00BF4EAE"/>
    <w:rsid w:val="00C044A2"/>
    <w:rsid w:val="00C0739F"/>
    <w:rsid w:val="00C0797E"/>
    <w:rsid w:val="00C07BEC"/>
    <w:rsid w:val="00C107D5"/>
    <w:rsid w:val="00C112E8"/>
    <w:rsid w:val="00C1249F"/>
    <w:rsid w:val="00C24E81"/>
    <w:rsid w:val="00C32545"/>
    <w:rsid w:val="00C35082"/>
    <w:rsid w:val="00C35D86"/>
    <w:rsid w:val="00C36EFA"/>
    <w:rsid w:val="00C40D2F"/>
    <w:rsid w:val="00C41378"/>
    <w:rsid w:val="00C425CD"/>
    <w:rsid w:val="00C43BFC"/>
    <w:rsid w:val="00C4626A"/>
    <w:rsid w:val="00C471A3"/>
    <w:rsid w:val="00C473A7"/>
    <w:rsid w:val="00C53119"/>
    <w:rsid w:val="00C56B81"/>
    <w:rsid w:val="00C57451"/>
    <w:rsid w:val="00C606E9"/>
    <w:rsid w:val="00C60972"/>
    <w:rsid w:val="00C6172E"/>
    <w:rsid w:val="00C6173E"/>
    <w:rsid w:val="00C666B4"/>
    <w:rsid w:val="00C67E36"/>
    <w:rsid w:val="00C72D19"/>
    <w:rsid w:val="00C73B5B"/>
    <w:rsid w:val="00C814C5"/>
    <w:rsid w:val="00C8419F"/>
    <w:rsid w:val="00C85157"/>
    <w:rsid w:val="00C91922"/>
    <w:rsid w:val="00C96B4D"/>
    <w:rsid w:val="00C96D24"/>
    <w:rsid w:val="00C96F19"/>
    <w:rsid w:val="00CA1DB1"/>
    <w:rsid w:val="00CA393C"/>
    <w:rsid w:val="00CB1C45"/>
    <w:rsid w:val="00CB33DF"/>
    <w:rsid w:val="00CB3CDC"/>
    <w:rsid w:val="00CB601A"/>
    <w:rsid w:val="00CB62B0"/>
    <w:rsid w:val="00CB67B0"/>
    <w:rsid w:val="00CB7219"/>
    <w:rsid w:val="00CC00C8"/>
    <w:rsid w:val="00CC6ABA"/>
    <w:rsid w:val="00CE0E7A"/>
    <w:rsid w:val="00CE21DC"/>
    <w:rsid w:val="00CE3211"/>
    <w:rsid w:val="00CE35D9"/>
    <w:rsid w:val="00CE594A"/>
    <w:rsid w:val="00CE5BB6"/>
    <w:rsid w:val="00CF38AB"/>
    <w:rsid w:val="00CF6070"/>
    <w:rsid w:val="00CF6108"/>
    <w:rsid w:val="00CF676F"/>
    <w:rsid w:val="00CF7FB7"/>
    <w:rsid w:val="00D02110"/>
    <w:rsid w:val="00D04370"/>
    <w:rsid w:val="00D05C72"/>
    <w:rsid w:val="00D120A2"/>
    <w:rsid w:val="00D16086"/>
    <w:rsid w:val="00D20C3D"/>
    <w:rsid w:val="00D21562"/>
    <w:rsid w:val="00D21B17"/>
    <w:rsid w:val="00D223B2"/>
    <w:rsid w:val="00D2304B"/>
    <w:rsid w:val="00D347F4"/>
    <w:rsid w:val="00D34C5D"/>
    <w:rsid w:val="00D350BF"/>
    <w:rsid w:val="00D4085B"/>
    <w:rsid w:val="00D429CD"/>
    <w:rsid w:val="00D45E39"/>
    <w:rsid w:val="00D46CBE"/>
    <w:rsid w:val="00D601AC"/>
    <w:rsid w:val="00D619AA"/>
    <w:rsid w:val="00D70701"/>
    <w:rsid w:val="00D72373"/>
    <w:rsid w:val="00D73E5E"/>
    <w:rsid w:val="00D76013"/>
    <w:rsid w:val="00D80202"/>
    <w:rsid w:val="00D85958"/>
    <w:rsid w:val="00D86F30"/>
    <w:rsid w:val="00D87AD8"/>
    <w:rsid w:val="00D91226"/>
    <w:rsid w:val="00D91C59"/>
    <w:rsid w:val="00DA0274"/>
    <w:rsid w:val="00DA0F78"/>
    <w:rsid w:val="00DA3D39"/>
    <w:rsid w:val="00DA3E7E"/>
    <w:rsid w:val="00DA4977"/>
    <w:rsid w:val="00DA4A23"/>
    <w:rsid w:val="00DA633E"/>
    <w:rsid w:val="00DB2879"/>
    <w:rsid w:val="00DB6A71"/>
    <w:rsid w:val="00DC0AD1"/>
    <w:rsid w:val="00DC1C45"/>
    <w:rsid w:val="00DC251C"/>
    <w:rsid w:val="00DC47CF"/>
    <w:rsid w:val="00DC5D67"/>
    <w:rsid w:val="00DC743C"/>
    <w:rsid w:val="00DC770D"/>
    <w:rsid w:val="00DD0BBB"/>
    <w:rsid w:val="00DD2F55"/>
    <w:rsid w:val="00DD371B"/>
    <w:rsid w:val="00DD40B7"/>
    <w:rsid w:val="00DD4633"/>
    <w:rsid w:val="00DD4C5C"/>
    <w:rsid w:val="00DD51D6"/>
    <w:rsid w:val="00DD70AC"/>
    <w:rsid w:val="00DD7C3C"/>
    <w:rsid w:val="00DE4914"/>
    <w:rsid w:val="00DE651D"/>
    <w:rsid w:val="00DE7CD7"/>
    <w:rsid w:val="00DF042C"/>
    <w:rsid w:val="00DF1F58"/>
    <w:rsid w:val="00DF2E2E"/>
    <w:rsid w:val="00DF3CC7"/>
    <w:rsid w:val="00E0315E"/>
    <w:rsid w:val="00E06E93"/>
    <w:rsid w:val="00E07AC8"/>
    <w:rsid w:val="00E07CD3"/>
    <w:rsid w:val="00E12503"/>
    <w:rsid w:val="00E15E3A"/>
    <w:rsid w:val="00E20962"/>
    <w:rsid w:val="00E22168"/>
    <w:rsid w:val="00E26084"/>
    <w:rsid w:val="00E26E74"/>
    <w:rsid w:val="00E27854"/>
    <w:rsid w:val="00E322D7"/>
    <w:rsid w:val="00E32D6E"/>
    <w:rsid w:val="00E34E69"/>
    <w:rsid w:val="00E36B5C"/>
    <w:rsid w:val="00E370A8"/>
    <w:rsid w:val="00E374C4"/>
    <w:rsid w:val="00E44369"/>
    <w:rsid w:val="00E443A0"/>
    <w:rsid w:val="00E46C70"/>
    <w:rsid w:val="00E46EDB"/>
    <w:rsid w:val="00E47635"/>
    <w:rsid w:val="00E55E95"/>
    <w:rsid w:val="00E57378"/>
    <w:rsid w:val="00E576A1"/>
    <w:rsid w:val="00E57B48"/>
    <w:rsid w:val="00E7056E"/>
    <w:rsid w:val="00E77094"/>
    <w:rsid w:val="00E77744"/>
    <w:rsid w:val="00E77FE0"/>
    <w:rsid w:val="00E90531"/>
    <w:rsid w:val="00E94006"/>
    <w:rsid w:val="00EA0153"/>
    <w:rsid w:val="00EA1205"/>
    <w:rsid w:val="00EA2496"/>
    <w:rsid w:val="00EB0332"/>
    <w:rsid w:val="00EB1801"/>
    <w:rsid w:val="00EB339A"/>
    <w:rsid w:val="00EB6357"/>
    <w:rsid w:val="00EC05C3"/>
    <w:rsid w:val="00EC2841"/>
    <w:rsid w:val="00EC6638"/>
    <w:rsid w:val="00EC71D7"/>
    <w:rsid w:val="00ED0EAC"/>
    <w:rsid w:val="00ED3492"/>
    <w:rsid w:val="00ED4B34"/>
    <w:rsid w:val="00ED5BF1"/>
    <w:rsid w:val="00ED62A5"/>
    <w:rsid w:val="00ED6D3C"/>
    <w:rsid w:val="00ED7A22"/>
    <w:rsid w:val="00EE08A5"/>
    <w:rsid w:val="00EE306A"/>
    <w:rsid w:val="00EE3349"/>
    <w:rsid w:val="00EF0FE7"/>
    <w:rsid w:val="00EF1336"/>
    <w:rsid w:val="00EF23CC"/>
    <w:rsid w:val="00EF2F20"/>
    <w:rsid w:val="00EF7C7A"/>
    <w:rsid w:val="00EF7D92"/>
    <w:rsid w:val="00F01C26"/>
    <w:rsid w:val="00F02548"/>
    <w:rsid w:val="00F02B1D"/>
    <w:rsid w:val="00F05EF8"/>
    <w:rsid w:val="00F076C6"/>
    <w:rsid w:val="00F21DBD"/>
    <w:rsid w:val="00F243FE"/>
    <w:rsid w:val="00F24C01"/>
    <w:rsid w:val="00F257B3"/>
    <w:rsid w:val="00F30FD9"/>
    <w:rsid w:val="00F318FC"/>
    <w:rsid w:val="00F3293F"/>
    <w:rsid w:val="00F33A96"/>
    <w:rsid w:val="00F33C8B"/>
    <w:rsid w:val="00F3738A"/>
    <w:rsid w:val="00F46704"/>
    <w:rsid w:val="00F476FB"/>
    <w:rsid w:val="00F5016B"/>
    <w:rsid w:val="00F53389"/>
    <w:rsid w:val="00F53CF7"/>
    <w:rsid w:val="00F53EFF"/>
    <w:rsid w:val="00F611D6"/>
    <w:rsid w:val="00F6296E"/>
    <w:rsid w:val="00F64230"/>
    <w:rsid w:val="00F6502A"/>
    <w:rsid w:val="00F6507F"/>
    <w:rsid w:val="00F66039"/>
    <w:rsid w:val="00F669A1"/>
    <w:rsid w:val="00F6765A"/>
    <w:rsid w:val="00F766D1"/>
    <w:rsid w:val="00F76E15"/>
    <w:rsid w:val="00F776D9"/>
    <w:rsid w:val="00F82EC9"/>
    <w:rsid w:val="00F833DB"/>
    <w:rsid w:val="00F83B44"/>
    <w:rsid w:val="00F96E1A"/>
    <w:rsid w:val="00F96E1E"/>
    <w:rsid w:val="00FA47F3"/>
    <w:rsid w:val="00FA6C4E"/>
    <w:rsid w:val="00FB03EB"/>
    <w:rsid w:val="00FB041D"/>
    <w:rsid w:val="00FB1811"/>
    <w:rsid w:val="00FB4100"/>
    <w:rsid w:val="00FB651B"/>
    <w:rsid w:val="00FC1996"/>
    <w:rsid w:val="00FC5165"/>
    <w:rsid w:val="00FC735D"/>
    <w:rsid w:val="00FC7987"/>
    <w:rsid w:val="00FD3ABB"/>
    <w:rsid w:val="00FD73BD"/>
    <w:rsid w:val="00FE05AD"/>
    <w:rsid w:val="00FE2854"/>
    <w:rsid w:val="00FE3492"/>
    <w:rsid w:val="00FF10DB"/>
    <w:rsid w:val="00FF214D"/>
    <w:rsid w:val="00FF4F89"/>
    <w:rsid w:val="00FF50F2"/>
    <w:rsid w:val="00FF59DC"/>
    <w:rsid w:val="00FF7F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CE07"/>
  <w15:chartTrackingRefBased/>
  <w15:docId w15:val="{ABC0114E-5654-419B-B436-116B03E0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1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uiPriority w:val="9"/>
    <w:semiHidden/>
    <w:unhideWhenUsed/>
    <w:qFormat/>
    <w:rsid w:val="008265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A2496"/>
    <w:pPr>
      <w:ind w:left="720"/>
      <w:contextualSpacing/>
    </w:pPr>
  </w:style>
  <w:style w:type="table" w:styleId="Tabelacomgrade">
    <w:name w:val="Table Grid"/>
    <w:basedOn w:val="Tabelanormal"/>
    <w:uiPriority w:val="39"/>
    <w:rsid w:val="0066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C6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6638"/>
  </w:style>
  <w:style w:type="paragraph" w:styleId="Rodap">
    <w:name w:val="footer"/>
    <w:basedOn w:val="Normal"/>
    <w:link w:val="RodapChar"/>
    <w:uiPriority w:val="99"/>
    <w:unhideWhenUsed/>
    <w:rsid w:val="00EC6638"/>
    <w:pPr>
      <w:tabs>
        <w:tab w:val="center" w:pos="4252"/>
        <w:tab w:val="right" w:pos="8504"/>
      </w:tabs>
      <w:spacing w:after="0" w:line="240" w:lineRule="auto"/>
    </w:pPr>
  </w:style>
  <w:style w:type="character" w:customStyle="1" w:styleId="RodapChar">
    <w:name w:val="Rodapé Char"/>
    <w:basedOn w:val="Fontepargpadro"/>
    <w:link w:val="Rodap"/>
    <w:uiPriority w:val="99"/>
    <w:rsid w:val="00EC6638"/>
  </w:style>
  <w:style w:type="paragraph" w:styleId="NormalWeb">
    <w:name w:val="Normal (Web)"/>
    <w:basedOn w:val="Normal"/>
    <w:uiPriority w:val="99"/>
    <w:semiHidden/>
    <w:unhideWhenUsed/>
    <w:rsid w:val="00EC2841"/>
    <w:pPr>
      <w:spacing w:before="100" w:beforeAutospacing="1" w:after="100" w:afterAutospacing="1" w:line="240" w:lineRule="auto"/>
    </w:pPr>
    <w:rPr>
      <w:rFonts w:ascii="Calibri" w:hAnsi="Calibri" w:cs="Calibri"/>
      <w:lang w:eastAsia="pt-BR"/>
    </w:rPr>
  </w:style>
  <w:style w:type="paragraph" w:styleId="Textodebalo">
    <w:name w:val="Balloon Text"/>
    <w:basedOn w:val="Normal"/>
    <w:link w:val="TextodebaloChar"/>
    <w:uiPriority w:val="99"/>
    <w:semiHidden/>
    <w:unhideWhenUsed/>
    <w:rsid w:val="00552A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2AD8"/>
    <w:rPr>
      <w:rFonts w:ascii="Segoe UI" w:hAnsi="Segoe UI" w:cs="Segoe UI"/>
      <w:sz w:val="18"/>
      <w:szCs w:val="18"/>
    </w:rPr>
  </w:style>
  <w:style w:type="character" w:styleId="Refdecomentrio">
    <w:name w:val="annotation reference"/>
    <w:basedOn w:val="Fontepargpadro"/>
    <w:uiPriority w:val="99"/>
    <w:semiHidden/>
    <w:unhideWhenUsed/>
    <w:rsid w:val="00044828"/>
    <w:rPr>
      <w:sz w:val="16"/>
      <w:szCs w:val="16"/>
    </w:rPr>
  </w:style>
  <w:style w:type="paragraph" w:styleId="Textodecomentrio">
    <w:name w:val="annotation text"/>
    <w:basedOn w:val="Normal"/>
    <w:link w:val="TextodecomentrioChar"/>
    <w:uiPriority w:val="99"/>
    <w:unhideWhenUsed/>
    <w:rsid w:val="00044828"/>
    <w:pPr>
      <w:spacing w:line="240" w:lineRule="auto"/>
    </w:pPr>
    <w:rPr>
      <w:sz w:val="20"/>
      <w:szCs w:val="20"/>
    </w:rPr>
  </w:style>
  <w:style w:type="character" w:customStyle="1" w:styleId="TextodecomentrioChar">
    <w:name w:val="Texto de comentário Char"/>
    <w:basedOn w:val="Fontepargpadro"/>
    <w:link w:val="Textodecomentrio"/>
    <w:uiPriority w:val="99"/>
    <w:rsid w:val="00044828"/>
    <w:rPr>
      <w:sz w:val="20"/>
      <w:szCs w:val="20"/>
    </w:rPr>
  </w:style>
  <w:style w:type="character" w:styleId="Hyperlink">
    <w:name w:val="Hyperlink"/>
    <w:basedOn w:val="Fontepargpadro"/>
    <w:uiPriority w:val="99"/>
    <w:unhideWhenUsed/>
    <w:rsid w:val="00044828"/>
    <w:rPr>
      <w:color w:val="0563C1" w:themeColor="hyperlink"/>
      <w:u w:val="single"/>
    </w:rPr>
  </w:style>
  <w:style w:type="paragraph" w:styleId="Sumrio1">
    <w:name w:val="toc 1"/>
    <w:basedOn w:val="Normal"/>
    <w:next w:val="Normal"/>
    <w:autoRedefine/>
    <w:uiPriority w:val="39"/>
    <w:unhideWhenUsed/>
    <w:rsid w:val="00221BA3"/>
    <w:pPr>
      <w:spacing w:before="120" w:after="120" w:line="360" w:lineRule="auto"/>
    </w:pPr>
    <w:rPr>
      <w:rFonts w:eastAsia="Arial" w:cstheme="minorHAnsi"/>
      <w:b/>
      <w:bCs/>
      <w:caps/>
      <w:sz w:val="20"/>
      <w:szCs w:val="20"/>
      <w:lang w:eastAsia="pt-BR"/>
    </w:rPr>
  </w:style>
  <w:style w:type="character" w:customStyle="1" w:styleId="Ttulo1Char">
    <w:name w:val="Título 1 Char"/>
    <w:basedOn w:val="Fontepargpadro"/>
    <w:link w:val="Ttulo1"/>
    <w:uiPriority w:val="9"/>
    <w:rsid w:val="00221BA3"/>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21BA3"/>
    <w:pPr>
      <w:outlineLvl w:val="9"/>
    </w:pPr>
    <w:rPr>
      <w:lang w:eastAsia="pt-BR"/>
    </w:rPr>
  </w:style>
  <w:style w:type="paragraph" w:styleId="Assuntodocomentrio">
    <w:name w:val="annotation subject"/>
    <w:basedOn w:val="Textodecomentrio"/>
    <w:next w:val="Textodecomentrio"/>
    <w:link w:val="AssuntodocomentrioChar"/>
    <w:uiPriority w:val="99"/>
    <w:semiHidden/>
    <w:unhideWhenUsed/>
    <w:rsid w:val="00026309"/>
    <w:rPr>
      <w:b/>
      <w:bCs/>
    </w:rPr>
  </w:style>
  <w:style w:type="character" w:customStyle="1" w:styleId="AssuntodocomentrioChar">
    <w:name w:val="Assunto do comentário Char"/>
    <w:basedOn w:val="TextodecomentrioChar"/>
    <w:link w:val="Assuntodocomentrio"/>
    <w:uiPriority w:val="99"/>
    <w:semiHidden/>
    <w:rsid w:val="00026309"/>
    <w:rPr>
      <w:b/>
      <w:bCs/>
      <w:sz w:val="20"/>
      <w:szCs w:val="20"/>
    </w:rPr>
  </w:style>
  <w:style w:type="paragraph" w:customStyle="1" w:styleId="Default">
    <w:name w:val="Default"/>
    <w:rsid w:val="003E3ACB"/>
    <w:pPr>
      <w:autoSpaceDE w:val="0"/>
      <w:autoSpaceDN w:val="0"/>
      <w:adjustRightInd w:val="0"/>
      <w:spacing w:after="0" w:line="240" w:lineRule="auto"/>
    </w:pPr>
    <w:rPr>
      <w:rFonts w:ascii="Arial" w:hAnsi="Arial" w:cs="Arial"/>
      <w:color w:val="000000"/>
      <w:sz w:val="24"/>
      <w:szCs w:val="24"/>
    </w:rPr>
  </w:style>
  <w:style w:type="paragraph" w:customStyle="1" w:styleId="Corpodotextoprocedimento">
    <w:name w:val="Corpo do texto procedimento"/>
    <w:basedOn w:val="Corpodetexto"/>
    <w:rsid w:val="00D91C59"/>
    <w:pPr>
      <w:spacing w:after="0" w:line="240" w:lineRule="auto"/>
      <w:jc w:val="both"/>
    </w:pPr>
    <w:rPr>
      <w:rFonts w:ascii="Arial" w:eastAsia="Times New Roman" w:hAnsi="Arial" w:cs="Arial"/>
      <w:sz w:val="24"/>
      <w:szCs w:val="24"/>
      <w:lang w:eastAsia="pt-BR"/>
    </w:rPr>
  </w:style>
  <w:style w:type="paragraph" w:styleId="Corpodetexto">
    <w:name w:val="Body Text"/>
    <w:basedOn w:val="Normal"/>
    <w:link w:val="CorpodetextoChar"/>
    <w:uiPriority w:val="99"/>
    <w:semiHidden/>
    <w:unhideWhenUsed/>
    <w:rsid w:val="00D91C59"/>
    <w:pPr>
      <w:spacing w:after="120"/>
    </w:pPr>
  </w:style>
  <w:style w:type="character" w:customStyle="1" w:styleId="CorpodetextoChar">
    <w:name w:val="Corpo de texto Char"/>
    <w:basedOn w:val="Fontepargpadro"/>
    <w:link w:val="Corpodetexto"/>
    <w:uiPriority w:val="99"/>
    <w:semiHidden/>
    <w:rsid w:val="00D91C59"/>
  </w:style>
  <w:style w:type="table" w:styleId="TabelaSimples5">
    <w:name w:val="Plain Table 5"/>
    <w:basedOn w:val="Tabelanormal"/>
    <w:uiPriority w:val="45"/>
    <w:rsid w:val="00AF6A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2">
    <w:name w:val="Plain Table 2"/>
    <w:basedOn w:val="Tabelanormal"/>
    <w:uiPriority w:val="42"/>
    <w:rsid w:val="005D65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
    <w:name w:val="Mention"/>
    <w:basedOn w:val="Fontepargpadro"/>
    <w:uiPriority w:val="99"/>
    <w:unhideWhenUsed/>
    <w:rsid w:val="000C1C5E"/>
    <w:rPr>
      <w:color w:val="2B579A"/>
      <w:shd w:val="clear" w:color="auto" w:fill="E1DFDD"/>
    </w:rPr>
  </w:style>
  <w:style w:type="character" w:customStyle="1" w:styleId="Ttulo5Char">
    <w:name w:val="Título 5 Char"/>
    <w:basedOn w:val="Fontepargpadro"/>
    <w:link w:val="Ttulo5"/>
    <w:uiPriority w:val="9"/>
    <w:semiHidden/>
    <w:rsid w:val="00826577"/>
    <w:rPr>
      <w:rFonts w:asciiTheme="majorHAnsi" w:eastAsiaTheme="majorEastAsia" w:hAnsiTheme="majorHAnsi" w:cstheme="majorBidi"/>
      <w:color w:val="2F5496" w:themeColor="accent1" w:themeShade="BF"/>
    </w:rPr>
  </w:style>
  <w:style w:type="paragraph" w:customStyle="1" w:styleId="Texto-MattosFilho">
    <w:name w:val="Texto - Mattos Filho"/>
    <w:basedOn w:val="Normal"/>
    <w:link w:val="Texto-MattosFilhoChar"/>
    <w:qFormat/>
    <w:rsid w:val="00826577"/>
    <w:pPr>
      <w:spacing w:after="0" w:line="240" w:lineRule="auto"/>
      <w:jc w:val="both"/>
    </w:pPr>
    <w:rPr>
      <w:rFonts w:ascii="Tahoma" w:eastAsia="Times New Roman" w:hAnsi="Tahoma" w:cs="Times New Roman"/>
      <w:szCs w:val="24"/>
      <w:lang w:eastAsia="pt-BR"/>
    </w:rPr>
  </w:style>
  <w:style w:type="character" w:customStyle="1" w:styleId="Texto-MattosFilhoChar">
    <w:name w:val="Texto - Mattos Filho Char"/>
    <w:basedOn w:val="Fontepargpadro"/>
    <w:link w:val="Texto-MattosFilho"/>
    <w:rsid w:val="00826577"/>
    <w:rPr>
      <w:rFonts w:ascii="Tahoma" w:eastAsia="Times New Roman" w:hAnsi="Tahoma" w:cs="Times New Roman"/>
      <w:szCs w:val="24"/>
      <w:lang w:eastAsia="pt-BR"/>
    </w:rPr>
  </w:style>
  <w:style w:type="paragraph" w:styleId="Textodenotaderodap">
    <w:name w:val="footnote text"/>
    <w:basedOn w:val="Normal"/>
    <w:link w:val="TextodenotaderodapChar"/>
    <w:unhideWhenUsed/>
    <w:rsid w:val="00826577"/>
    <w:pPr>
      <w:spacing w:after="0" w:line="240" w:lineRule="auto"/>
    </w:pPr>
    <w:rPr>
      <w:sz w:val="20"/>
      <w:szCs w:val="20"/>
    </w:rPr>
  </w:style>
  <w:style w:type="character" w:customStyle="1" w:styleId="TextodenotaderodapChar">
    <w:name w:val="Texto de nota de rodapé Char"/>
    <w:basedOn w:val="Fontepargpadro"/>
    <w:link w:val="Textodenotaderodap"/>
    <w:rsid w:val="00826577"/>
    <w:rPr>
      <w:sz w:val="20"/>
      <w:szCs w:val="20"/>
    </w:rPr>
  </w:style>
  <w:style w:type="character" w:styleId="Refdenotaderodap">
    <w:name w:val="footnote reference"/>
    <w:basedOn w:val="Fontepargpadro"/>
    <w:unhideWhenUsed/>
    <w:rsid w:val="00826577"/>
    <w:rPr>
      <w:vertAlign w:val="superscript"/>
    </w:rPr>
  </w:style>
  <w:style w:type="paragraph" w:styleId="Reviso">
    <w:name w:val="Revision"/>
    <w:hidden/>
    <w:uiPriority w:val="99"/>
    <w:semiHidden/>
    <w:rsid w:val="00073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495">
      <w:bodyDiv w:val="1"/>
      <w:marLeft w:val="0"/>
      <w:marRight w:val="0"/>
      <w:marTop w:val="0"/>
      <w:marBottom w:val="0"/>
      <w:divBdr>
        <w:top w:val="none" w:sz="0" w:space="0" w:color="auto"/>
        <w:left w:val="none" w:sz="0" w:space="0" w:color="auto"/>
        <w:bottom w:val="none" w:sz="0" w:space="0" w:color="auto"/>
        <w:right w:val="none" w:sz="0" w:space="0" w:color="auto"/>
      </w:divBdr>
    </w:div>
    <w:div w:id="61561267">
      <w:bodyDiv w:val="1"/>
      <w:marLeft w:val="0"/>
      <w:marRight w:val="0"/>
      <w:marTop w:val="0"/>
      <w:marBottom w:val="0"/>
      <w:divBdr>
        <w:top w:val="none" w:sz="0" w:space="0" w:color="auto"/>
        <w:left w:val="none" w:sz="0" w:space="0" w:color="auto"/>
        <w:bottom w:val="none" w:sz="0" w:space="0" w:color="auto"/>
        <w:right w:val="none" w:sz="0" w:space="0" w:color="auto"/>
      </w:divBdr>
    </w:div>
    <w:div w:id="202065326">
      <w:bodyDiv w:val="1"/>
      <w:marLeft w:val="0"/>
      <w:marRight w:val="0"/>
      <w:marTop w:val="0"/>
      <w:marBottom w:val="0"/>
      <w:divBdr>
        <w:top w:val="none" w:sz="0" w:space="0" w:color="auto"/>
        <w:left w:val="none" w:sz="0" w:space="0" w:color="auto"/>
        <w:bottom w:val="none" w:sz="0" w:space="0" w:color="auto"/>
        <w:right w:val="none" w:sz="0" w:space="0" w:color="auto"/>
      </w:divBdr>
    </w:div>
    <w:div w:id="252327251">
      <w:bodyDiv w:val="1"/>
      <w:marLeft w:val="0"/>
      <w:marRight w:val="0"/>
      <w:marTop w:val="0"/>
      <w:marBottom w:val="0"/>
      <w:divBdr>
        <w:top w:val="none" w:sz="0" w:space="0" w:color="auto"/>
        <w:left w:val="none" w:sz="0" w:space="0" w:color="auto"/>
        <w:bottom w:val="none" w:sz="0" w:space="0" w:color="auto"/>
        <w:right w:val="none" w:sz="0" w:space="0" w:color="auto"/>
      </w:divBdr>
    </w:div>
    <w:div w:id="310139376">
      <w:bodyDiv w:val="1"/>
      <w:marLeft w:val="0"/>
      <w:marRight w:val="0"/>
      <w:marTop w:val="0"/>
      <w:marBottom w:val="0"/>
      <w:divBdr>
        <w:top w:val="none" w:sz="0" w:space="0" w:color="auto"/>
        <w:left w:val="none" w:sz="0" w:space="0" w:color="auto"/>
        <w:bottom w:val="none" w:sz="0" w:space="0" w:color="auto"/>
        <w:right w:val="none" w:sz="0" w:space="0" w:color="auto"/>
      </w:divBdr>
    </w:div>
    <w:div w:id="357005306">
      <w:bodyDiv w:val="1"/>
      <w:marLeft w:val="0"/>
      <w:marRight w:val="0"/>
      <w:marTop w:val="0"/>
      <w:marBottom w:val="0"/>
      <w:divBdr>
        <w:top w:val="none" w:sz="0" w:space="0" w:color="auto"/>
        <w:left w:val="none" w:sz="0" w:space="0" w:color="auto"/>
        <w:bottom w:val="none" w:sz="0" w:space="0" w:color="auto"/>
        <w:right w:val="none" w:sz="0" w:space="0" w:color="auto"/>
      </w:divBdr>
    </w:div>
    <w:div w:id="489635812">
      <w:bodyDiv w:val="1"/>
      <w:marLeft w:val="0"/>
      <w:marRight w:val="0"/>
      <w:marTop w:val="0"/>
      <w:marBottom w:val="0"/>
      <w:divBdr>
        <w:top w:val="none" w:sz="0" w:space="0" w:color="auto"/>
        <w:left w:val="none" w:sz="0" w:space="0" w:color="auto"/>
        <w:bottom w:val="none" w:sz="0" w:space="0" w:color="auto"/>
        <w:right w:val="none" w:sz="0" w:space="0" w:color="auto"/>
      </w:divBdr>
    </w:div>
    <w:div w:id="702245143">
      <w:bodyDiv w:val="1"/>
      <w:marLeft w:val="0"/>
      <w:marRight w:val="0"/>
      <w:marTop w:val="0"/>
      <w:marBottom w:val="0"/>
      <w:divBdr>
        <w:top w:val="none" w:sz="0" w:space="0" w:color="auto"/>
        <w:left w:val="none" w:sz="0" w:space="0" w:color="auto"/>
        <w:bottom w:val="none" w:sz="0" w:space="0" w:color="auto"/>
        <w:right w:val="none" w:sz="0" w:space="0" w:color="auto"/>
      </w:divBdr>
    </w:div>
    <w:div w:id="768550714">
      <w:bodyDiv w:val="1"/>
      <w:marLeft w:val="0"/>
      <w:marRight w:val="0"/>
      <w:marTop w:val="0"/>
      <w:marBottom w:val="0"/>
      <w:divBdr>
        <w:top w:val="none" w:sz="0" w:space="0" w:color="auto"/>
        <w:left w:val="none" w:sz="0" w:space="0" w:color="auto"/>
        <w:bottom w:val="none" w:sz="0" w:space="0" w:color="auto"/>
        <w:right w:val="none" w:sz="0" w:space="0" w:color="auto"/>
      </w:divBdr>
    </w:div>
    <w:div w:id="819270886">
      <w:bodyDiv w:val="1"/>
      <w:marLeft w:val="0"/>
      <w:marRight w:val="0"/>
      <w:marTop w:val="0"/>
      <w:marBottom w:val="0"/>
      <w:divBdr>
        <w:top w:val="none" w:sz="0" w:space="0" w:color="auto"/>
        <w:left w:val="none" w:sz="0" w:space="0" w:color="auto"/>
        <w:bottom w:val="none" w:sz="0" w:space="0" w:color="auto"/>
        <w:right w:val="none" w:sz="0" w:space="0" w:color="auto"/>
      </w:divBdr>
    </w:div>
    <w:div w:id="911352425">
      <w:bodyDiv w:val="1"/>
      <w:marLeft w:val="0"/>
      <w:marRight w:val="0"/>
      <w:marTop w:val="0"/>
      <w:marBottom w:val="0"/>
      <w:divBdr>
        <w:top w:val="none" w:sz="0" w:space="0" w:color="auto"/>
        <w:left w:val="none" w:sz="0" w:space="0" w:color="auto"/>
        <w:bottom w:val="none" w:sz="0" w:space="0" w:color="auto"/>
        <w:right w:val="none" w:sz="0" w:space="0" w:color="auto"/>
      </w:divBdr>
    </w:div>
    <w:div w:id="991173619">
      <w:bodyDiv w:val="1"/>
      <w:marLeft w:val="0"/>
      <w:marRight w:val="0"/>
      <w:marTop w:val="0"/>
      <w:marBottom w:val="0"/>
      <w:divBdr>
        <w:top w:val="none" w:sz="0" w:space="0" w:color="auto"/>
        <w:left w:val="none" w:sz="0" w:space="0" w:color="auto"/>
        <w:bottom w:val="none" w:sz="0" w:space="0" w:color="auto"/>
        <w:right w:val="none" w:sz="0" w:space="0" w:color="auto"/>
      </w:divBdr>
    </w:div>
    <w:div w:id="1009913416">
      <w:bodyDiv w:val="1"/>
      <w:marLeft w:val="0"/>
      <w:marRight w:val="0"/>
      <w:marTop w:val="0"/>
      <w:marBottom w:val="0"/>
      <w:divBdr>
        <w:top w:val="none" w:sz="0" w:space="0" w:color="auto"/>
        <w:left w:val="none" w:sz="0" w:space="0" w:color="auto"/>
        <w:bottom w:val="none" w:sz="0" w:space="0" w:color="auto"/>
        <w:right w:val="none" w:sz="0" w:space="0" w:color="auto"/>
      </w:divBdr>
    </w:div>
    <w:div w:id="1133400121">
      <w:bodyDiv w:val="1"/>
      <w:marLeft w:val="0"/>
      <w:marRight w:val="0"/>
      <w:marTop w:val="0"/>
      <w:marBottom w:val="0"/>
      <w:divBdr>
        <w:top w:val="none" w:sz="0" w:space="0" w:color="auto"/>
        <w:left w:val="none" w:sz="0" w:space="0" w:color="auto"/>
        <w:bottom w:val="none" w:sz="0" w:space="0" w:color="auto"/>
        <w:right w:val="none" w:sz="0" w:space="0" w:color="auto"/>
      </w:divBdr>
    </w:div>
    <w:div w:id="1271549765">
      <w:bodyDiv w:val="1"/>
      <w:marLeft w:val="0"/>
      <w:marRight w:val="0"/>
      <w:marTop w:val="0"/>
      <w:marBottom w:val="0"/>
      <w:divBdr>
        <w:top w:val="none" w:sz="0" w:space="0" w:color="auto"/>
        <w:left w:val="none" w:sz="0" w:space="0" w:color="auto"/>
        <w:bottom w:val="none" w:sz="0" w:space="0" w:color="auto"/>
        <w:right w:val="none" w:sz="0" w:space="0" w:color="auto"/>
      </w:divBdr>
    </w:div>
    <w:div w:id="1327977794">
      <w:bodyDiv w:val="1"/>
      <w:marLeft w:val="0"/>
      <w:marRight w:val="0"/>
      <w:marTop w:val="0"/>
      <w:marBottom w:val="0"/>
      <w:divBdr>
        <w:top w:val="none" w:sz="0" w:space="0" w:color="auto"/>
        <w:left w:val="none" w:sz="0" w:space="0" w:color="auto"/>
        <w:bottom w:val="none" w:sz="0" w:space="0" w:color="auto"/>
        <w:right w:val="none" w:sz="0" w:space="0" w:color="auto"/>
      </w:divBdr>
    </w:div>
    <w:div w:id="1501772184">
      <w:bodyDiv w:val="1"/>
      <w:marLeft w:val="0"/>
      <w:marRight w:val="0"/>
      <w:marTop w:val="0"/>
      <w:marBottom w:val="0"/>
      <w:divBdr>
        <w:top w:val="none" w:sz="0" w:space="0" w:color="auto"/>
        <w:left w:val="none" w:sz="0" w:space="0" w:color="auto"/>
        <w:bottom w:val="none" w:sz="0" w:space="0" w:color="auto"/>
        <w:right w:val="none" w:sz="0" w:space="0" w:color="auto"/>
      </w:divBdr>
    </w:div>
    <w:div w:id="1529677580">
      <w:bodyDiv w:val="1"/>
      <w:marLeft w:val="0"/>
      <w:marRight w:val="0"/>
      <w:marTop w:val="0"/>
      <w:marBottom w:val="0"/>
      <w:divBdr>
        <w:top w:val="none" w:sz="0" w:space="0" w:color="auto"/>
        <w:left w:val="none" w:sz="0" w:space="0" w:color="auto"/>
        <w:bottom w:val="none" w:sz="0" w:space="0" w:color="auto"/>
        <w:right w:val="none" w:sz="0" w:space="0" w:color="auto"/>
      </w:divBdr>
    </w:div>
    <w:div w:id="1677149553">
      <w:bodyDiv w:val="1"/>
      <w:marLeft w:val="0"/>
      <w:marRight w:val="0"/>
      <w:marTop w:val="0"/>
      <w:marBottom w:val="0"/>
      <w:divBdr>
        <w:top w:val="none" w:sz="0" w:space="0" w:color="auto"/>
        <w:left w:val="none" w:sz="0" w:space="0" w:color="auto"/>
        <w:bottom w:val="none" w:sz="0" w:space="0" w:color="auto"/>
        <w:right w:val="none" w:sz="0" w:space="0" w:color="auto"/>
      </w:divBdr>
    </w:div>
    <w:div w:id="1773355708">
      <w:bodyDiv w:val="1"/>
      <w:marLeft w:val="0"/>
      <w:marRight w:val="0"/>
      <w:marTop w:val="0"/>
      <w:marBottom w:val="0"/>
      <w:divBdr>
        <w:top w:val="none" w:sz="0" w:space="0" w:color="auto"/>
        <w:left w:val="none" w:sz="0" w:space="0" w:color="auto"/>
        <w:bottom w:val="none" w:sz="0" w:space="0" w:color="auto"/>
        <w:right w:val="none" w:sz="0" w:space="0" w:color="auto"/>
      </w:divBdr>
    </w:div>
    <w:div w:id="1790201868">
      <w:bodyDiv w:val="1"/>
      <w:marLeft w:val="0"/>
      <w:marRight w:val="0"/>
      <w:marTop w:val="0"/>
      <w:marBottom w:val="0"/>
      <w:divBdr>
        <w:top w:val="none" w:sz="0" w:space="0" w:color="auto"/>
        <w:left w:val="none" w:sz="0" w:space="0" w:color="auto"/>
        <w:bottom w:val="none" w:sz="0" w:space="0" w:color="auto"/>
        <w:right w:val="none" w:sz="0" w:space="0" w:color="auto"/>
      </w:divBdr>
    </w:div>
    <w:div w:id="2036148692">
      <w:bodyDiv w:val="1"/>
      <w:marLeft w:val="0"/>
      <w:marRight w:val="0"/>
      <w:marTop w:val="0"/>
      <w:marBottom w:val="0"/>
      <w:divBdr>
        <w:top w:val="none" w:sz="0" w:space="0" w:color="auto"/>
        <w:left w:val="none" w:sz="0" w:space="0" w:color="auto"/>
        <w:bottom w:val="none" w:sz="0" w:space="0" w:color="auto"/>
        <w:right w:val="none" w:sz="0" w:space="0" w:color="auto"/>
      </w:divBdr>
    </w:div>
    <w:div w:id="2052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754152-c5b2-43d3-9662-ca8eaee6c1a2">
      <Terms xmlns="http://schemas.microsoft.com/office/infopath/2007/PartnerControls"/>
    </lcf76f155ced4ddcb4097134ff3c332f>
    <TaxCatchAll xmlns="e50318df-d1da-4003-82cc-7aa9895fa9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809131FB120004C8C97B1B049C7B819" ma:contentTypeVersion="14" ma:contentTypeDescription="Crie um novo documento." ma:contentTypeScope="" ma:versionID="3f076b7bb85bc73707ed9d149e8d3d92">
  <xsd:schema xmlns:xsd="http://www.w3.org/2001/XMLSchema" xmlns:xs="http://www.w3.org/2001/XMLSchema" xmlns:p="http://schemas.microsoft.com/office/2006/metadata/properties" xmlns:ns2="a4754152-c5b2-43d3-9662-ca8eaee6c1a2" xmlns:ns3="e50318df-d1da-4003-82cc-7aa9895fa9ef" targetNamespace="http://schemas.microsoft.com/office/2006/metadata/properties" ma:root="true" ma:fieldsID="bfdf9801832729dda88698f3e55467da" ns2:_="" ns3:_="">
    <xsd:import namespace="a4754152-c5b2-43d3-9662-ca8eaee6c1a2"/>
    <xsd:import namespace="e50318df-d1da-4003-82cc-7aa9895fa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54152-c5b2-43d3-9662-ca8eaee6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6ec218e3-b1e0-47de-9457-53c749d00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318df-d1da-4003-82cc-7aa9895fa9e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6e91f50b-f77e-4e25-b222-fbd3169ceb4b}" ma:internalName="TaxCatchAll" ma:showField="CatchAllData" ma:web="e50318df-d1da-4003-82cc-7aa9895fa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88A35-CE15-4818-B835-F6C946461E9B}">
  <ds:schemaRefs>
    <ds:schemaRef ds:uri="http://schemas.microsoft.com/office/2006/metadata/properties"/>
    <ds:schemaRef ds:uri="http://schemas.microsoft.com/office/infopath/2007/PartnerControls"/>
    <ds:schemaRef ds:uri="a4754152-c5b2-43d3-9662-ca8eaee6c1a2"/>
    <ds:schemaRef ds:uri="e50318df-d1da-4003-82cc-7aa9895fa9ef"/>
  </ds:schemaRefs>
</ds:datastoreItem>
</file>

<file path=customXml/itemProps2.xml><?xml version="1.0" encoding="utf-8"?>
<ds:datastoreItem xmlns:ds="http://schemas.openxmlformats.org/officeDocument/2006/customXml" ds:itemID="{25982CD9-E298-4B8D-B252-AC90DFA5D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54152-c5b2-43d3-9662-ca8eaee6c1a2"/>
    <ds:schemaRef ds:uri="e50318df-d1da-4003-82cc-7aa9895f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B6D87-959E-45DE-B6BD-81D4291C7BF5}">
  <ds:schemaRefs>
    <ds:schemaRef ds:uri="http://schemas.openxmlformats.org/officeDocument/2006/bibliography"/>
  </ds:schemaRefs>
</ds:datastoreItem>
</file>

<file path=customXml/itemProps4.xml><?xml version="1.0" encoding="utf-8"?>
<ds:datastoreItem xmlns:ds="http://schemas.openxmlformats.org/officeDocument/2006/customXml" ds:itemID="{D9C8D45F-CAA8-487E-9E6E-B5DBCE3F8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2609</Words>
  <Characters>15164</Characters>
  <Application>Microsoft Office Word</Application>
  <DocSecurity>0</DocSecurity>
  <Lines>322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Correa</dc:creator>
  <cp:keywords/>
  <dc:description/>
  <cp:lastModifiedBy>Daniela Monteiro Trevizani</cp:lastModifiedBy>
  <cp:revision>6</cp:revision>
  <cp:lastPrinted>2024-10-25T22:59:00Z</cp:lastPrinted>
  <dcterms:created xsi:type="dcterms:W3CDTF">2025-12-15T17:09:00Z</dcterms:created>
  <dcterms:modified xsi:type="dcterms:W3CDTF">2025-12-22T13:57:00Z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0x0101002809131FB120004C8C97B1B049C7B819</vt:lpwstr>
  </property>
  <property fmtid="{D5CDD505-2E9C-101B-9397-08002B2CF9AE}" pid="3" name="MediaServiceImageTags">
    <vt:lpwstr/>
  </property>
  <property fmtid="{D5CDD505-2E9C-101B-9397-08002B2CF9AE}" pid="4" name="GrammarlyDocumentId">
    <vt:lpwstr>0ffd7ab8619d5b694918a020ed13fcdcf2fccb155b41659ea36a2d236654503f</vt:lpwstr>
  </property>
  <property fmtid="{D5CDD505-2E9C-101B-9397-08002B2CF9AE}" pid="5" name="ClassificationContentMarkingHeaderShapeIds">
    <vt:lpwstr>753aff83,6c2a0916,54d168bf</vt:lpwstr>
  </property>
  <property fmtid="{D5CDD505-2E9C-101B-9397-08002B2CF9AE}" pid="6" name="ClassificationContentMarkingHeaderFontProps">
    <vt:lpwstr>#000000,10,Calibri</vt:lpwstr>
  </property>
  <property fmtid="{D5CDD505-2E9C-101B-9397-08002B2CF9AE}" pid="7" name="ClassificationContentMarkingHeaderText">
    <vt:lpwstr>Público</vt:lpwstr>
  </property>
  <property fmtid="{D5CDD505-2E9C-101B-9397-08002B2CF9AE}" pid="8" name="ClassificationContentMarkingFooterShapeIds">
    <vt:lpwstr>b71a780,40cc006c,1335bf56</vt:lpwstr>
  </property>
  <property fmtid="{D5CDD505-2E9C-101B-9397-08002B2CF9AE}" pid="9" name="ClassificationContentMarkingFooterFontProps">
    <vt:lpwstr>#000000,10,Calibri</vt:lpwstr>
  </property>
  <property fmtid="{D5CDD505-2E9C-101B-9397-08002B2CF9AE}" pid="10" name="ClassificationContentMarkingFooterText">
    <vt:lpwstr>Público</vt:lpwstr>
  </property>
  <property fmtid="{D5CDD505-2E9C-101B-9397-08002B2CF9AE}" pid="11" name="MSIP_Label_e5e25035-5d33-4799-92ac-0d57d7ef2dd5_Enabled">
    <vt:lpwstr>true</vt:lpwstr>
  </property>
  <property fmtid="{D5CDD505-2E9C-101B-9397-08002B2CF9AE}" pid="12" name="MSIP_Label_e5e25035-5d33-4799-92ac-0d57d7ef2dd5_SetDate">
    <vt:lpwstr>2024-11-19T18:16:44Z</vt:lpwstr>
  </property>
  <property fmtid="{D5CDD505-2E9C-101B-9397-08002B2CF9AE}" pid="13" name="MSIP_Label_e5e25035-5d33-4799-92ac-0d57d7ef2dd5_Method">
    <vt:lpwstr>Privileged</vt:lpwstr>
  </property>
  <property fmtid="{D5CDD505-2E9C-101B-9397-08002B2CF9AE}" pid="14" name="MSIP_Label_e5e25035-5d33-4799-92ac-0d57d7ef2dd5_Name">
    <vt:lpwstr>Público</vt:lpwstr>
  </property>
  <property fmtid="{D5CDD505-2E9C-101B-9397-08002B2CF9AE}" pid="15" name="MSIP_Label_e5e25035-5d33-4799-92ac-0d57d7ef2dd5_SiteId">
    <vt:lpwstr>5548ac8c-af41-4726-b444-30454a55d93d</vt:lpwstr>
  </property>
  <property fmtid="{D5CDD505-2E9C-101B-9397-08002B2CF9AE}" pid="16" name="MSIP_Label_e5e25035-5d33-4799-92ac-0d57d7ef2dd5_ActionId">
    <vt:lpwstr>c763ee21-5b1c-4525-b17b-c09c5acce1f2</vt:lpwstr>
  </property>
  <property fmtid="{D5CDD505-2E9C-101B-9397-08002B2CF9AE}" pid="17" name="MSIP_Label_e5e25035-5d33-4799-92ac-0d57d7ef2dd5_ContentBits">
    <vt:lpwstr>3</vt:lpwstr>
  </property>
</Properties>
</file>